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254C51" w:rsidRDefault="00254C51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10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254C51">
        <w:t>13.04.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254C51">
        <w:t>185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94D7A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94D7A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94D7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94D7A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54C51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10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>адастровый номер: 40:27:</w:t>
            </w:r>
            <w:r w:rsidR="0059029C">
              <w:t>020403</w:t>
            </w:r>
            <w:r w:rsidR="00CD70A0" w:rsidRPr="00CD70A0">
              <w:t>:</w:t>
            </w:r>
            <w:r w:rsidR="0059029C">
              <w:t>289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59029C">
              <w:t>37,8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Pr="00F62696" w:rsidRDefault="005F79BC" w:rsidP="00CD70A0">
            <w:r>
              <w:t>право: собственность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94D7A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94D7A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9A31F1" w:rsidP="009A31F1">
            <w:r>
              <w:t>1</w:t>
            </w:r>
            <w:r w:rsidR="00B67A53" w:rsidRPr="00B67A53">
              <w:t> </w:t>
            </w:r>
            <w:r>
              <w:t>91</w:t>
            </w:r>
            <w:r w:rsidR="00B67A53" w:rsidRPr="00B67A53">
              <w:t>0 000 (</w:t>
            </w:r>
            <w:r>
              <w:t>Один</w:t>
            </w:r>
            <w:r w:rsidR="00B67A53" w:rsidRPr="00B67A53">
              <w:t xml:space="preserve"> миллион </w:t>
            </w:r>
            <w:r>
              <w:t>девятьсот десять</w:t>
            </w:r>
            <w:r w:rsidR="00B67A53" w:rsidRPr="00B67A53">
              <w:t xml:space="preserve"> 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9A31F1" w:rsidP="009A31F1">
            <w:r>
              <w:t>16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>
              <w:t>Шестнадцать</w:t>
            </w:r>
            <w:r w:rsidR="0017411D">
              <w:t xml:space="preserve"> тысяч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9A31F1" w:rsidP="007D61EA">
            <w:r>
              <w:t>16</w:t>
            </w:r>
            <w:r w:rsidR="00A66C0E" w:rsidRPr="00A66C0E">
              <w:t> 000 (</w:t>
            </w:r>
            <w:r w:rsidRPr="009A31F1">
              <w:t>Шестнадцать тысяч</w:t>
            </w:r>
            <w:r w:rsidR="00A66C0E" w:rsidRPr="00A66C0E">
              <w:t>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8B0B71" w:rsidP="009A31F1">
            <w:r>
              <w:t>1</w:t>
            </w:r>
            <w:r w:rsidR="0066467D" w:rsidRPr="0066467D">
              <w:t> </w:t>
            </w:r>
            <w:r w:rsidR="009A31F1">
              <w:t>75</w:t>
            </w:r>
            <w:r w:rsidR="0066467D" w:rsidRPr="0066467D">
              <w:t>0 000 (</w:t>
            </w:r>
            <w:r>
              <w:t>Один</w:t>
            </w:r>
            <w:r w:rsidR="0066467D" w:rsidRPr="0066467D">
              <w:t xml:space="preserve"> миллион </w:t>
            </w:r>
            <w:r w:rsidR="00AE74D7">
              <w:t>сем</w:t>
            </w:r>
            <w:r>
              <w:t xml:space="preserve">ьсот </w:t>
            </w:r>
            <w:r w:rsidR="009A31F1">
              <w:t>пять</w:t>
            </w:r>
            <w:r>
              <w:t>десят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025E4F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8B0B71">
              <w:t>3</w:t>
            </w:r>
            <w:r w:rsidR="00025E4F">
              <w:t>50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8B0B71">
              <w:t>Триста</w:t>
            </w:r>
            <w:r w:rsidR="00797418">
              <w:t xml:space="preserve"> </w:t>
            </w:r>
            <w:r w:rsidR="00025E4F">
              <w:t>пя</w:t>
            </w:r>
            <w:r w:rsidR="00A66C0E">
              <w:t>тьдесят</w:t>
            </w:r>
            <w:r w:rsidR="008B0B71">
              <w:t xml:space="preserve"> </w:t>
            </w:r>
            <w:r w:rsidR="00D5381B" w:rsidRPr="00797418">
              <w:t>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 xml:space="preserve">, в Калужском </w:t>
            </w:r>
            <w:r w:rsidRPr="00811C9E">
              <w:lastRenderedPageBreak/>
              <w:t>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DC194B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>, кв. 10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254C51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254C51" w:rsidP="00254C5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254C51" w:rsidP="005223CB">
            <w:r>
              <w:rPr>
                <w:bCs/>
              </w:rPr>
              <w:t>23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254C51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254C5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254C51">
              <w:rPr>
                <w:bCs/>
              </w:rPr>
              <w:t>30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254C51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254C51" w:rsidP="00AB4385">
            <w:r w:rsidRPr="00254C51"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</w:t>
            </w:r>
            <w:r w:rsidRPr="00F62696">
              <w:lastRenderedPageBreak/>
              <w:t>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254C51">
            <w:r w:rsidRPr="00226223">
              <w:t xml:space="preserve">По адресу Организатора – в рабочие дни </w:t>
            </w:r>
            <w:r w:rsidR="00254C51">
              <w:br/>
            </w:r>
            <w:r w:rsidR="00264994">
              <w:t xml:space="preserve">с </w:t>
            </w:r>
            <w:r w:rsidR="00254C51">
              <w:rPr>
                <w:bCs/>
              </w:rPr>
              <w:t>16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254C51">
              <w:rPr>
                <w:bCs/>
              </w:rPr>
              <w:t>23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794D7A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254C51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lastRenderedPageBreak/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254C51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254C51" w:rsidRPr="00254C51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C42CEF">
        <w:t xml:space="preserve"> </w:t>
      </w:r>
      <w:r w:rsidR="00C42CEF" w:rsidRPr="00F62696">
        <w:t xml:space="preserve">(Приложение </w:t>
      </w:r>
      <w:r w:rsidR="00C42CEF">
        <w:t xml:space="preserve">№ </w:t>
      </w:r>
      <w:r w:rsidR="00C42CEF" w:rsidRPr="00F62696">
        <w:t>4.</w:t>
      </w:r>
      <w:r w:rsidR="00C42CEF">
        <w:t xml:space="preserve"> </w:t>
      </w:r>
      <w:r w:rsidR="00C42CEF" w:rsidRPr="00F62696">
        <w:t>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EF40A8" w:rsidRDefault="00A8442C" w:rsidP="00C42CEF">
      <w:pPr>
        <w:tabs>
          <w:tab w:val="left" w:pos="1418"/>
        </w:tabs>
        <w:ind w:firstLine="566"/>
      </w:pPr>
      <w:r>
        <w:lastRenderedPageBreak/>
        <w:t>При</w:t>
      </w:r>
      <w:r w:rsidR="00EF40A8">
        <w:t xml:space="preserve"> оплат</w:t>
      </w:r>
      <w:r>
        <w:t>е</w:t>
      </w:r>
      <w:r w:rsidR="00EF40A8">
        <w:t xml:space="preserve"> цены </w:t>
      </w:r>
      <w:r w:rsidR="00C42CEF">
        <w:t>Имущества кредитны</w:t>
      </w:r>
      <w:r>
        <w:t>ми</w:t>
      </w:r>
      <w:r w:rsidR="00C42CEF">
        <w:t xml:space="preserve"> средств</w:t>
      </w:r>
      <w:r>
        <w:t>ами</w:t>
      </w:r>
      <w:r w:rsidR="00B4225A">
        <w:t xml:space="preserve"> банка (ипотечное кредитование)</w:t>
      </w:r>
      <w:r w:rsidR="00C42CEF">
        <w:t>,</w:t>
      </w:r>
      <w:r w:rsidR="00C42CEF" w:rsidRPr="00C42CEF">
        <w:rPr>
          <w:i/>
          <w:sz w:val="24"/>
          <w:szCs w:val="24"/>
        </w:rPr>
        <w:t xml:space="preserve"> </w:t>
      </w:r>
      <w:r w:rsidR="00C42CEF">
        <w:t>в проект д</w:t>
      </w:r>
      <w:r w:rsidR="00C42CEF" w:rsidRPr="00C42CEF">
        <w:t>оговор</w:t>
      </w:r>
      <w:r w:rsidR="00C42CEF">
        <w:t>а</w:t>
      </w:r>
      <w:r w:rsidR="00C42CEF" w:rsidRPr="00C42CEF">
        <w:t xml:space="preserve"> </w:t>
      </w:r>
      <w:r w:rsidR="00C42CEF">
        <w:t>также включаются</w:t>
      </w:r>
      <w:r w:rsidR="00C42CEF" w:rsidRPr="00C42CEF">
        <w:t xml:space="preserve"> </w:t>
      </w:r>
      <w:r w:rsidR="00244A80">
        <w:t>требуемые</w:t>
      </w:r>
      <w:r w:rsidR="00C42CEF">
        <w:t xml:space="preserve"> банк</w:t>
      </w:r>
      <w:r w:rsidR="00244A80">
        <w:t>у</w:t>
      </w:r>
      <w:r w:rsidR="00C42CEF" w:rsidRPr="00C42CEF">
        <w:t xml:space="preserve"> услови</w:t>
      </w:r>
      <w:r w:rsidR="00C42CEF">
        <w:t>я</w:t>
      </w:r>
      <w:r w:rsidR="00C42CEF" w:rsidRPr="00C42CEF">
        <w:t xml:space="preserve">, </w:t>
      </w:r>
      <w:r w:rsidR="00244A80">
        <w:t xml:space="preserve">которые </w:t>
      </w:r>
      <w:r w:rsidR="00C42CEF" w:rsidRPr="00C42CEF">
        <w:t xml:space="preserve">предварительно </w:t>
      </w:r>
      <w:r w:rsidR="00244A80">
        <w:t xml:space="preserve">должны быть </w:t>
      </w:r>
      <w:r w:rsidR="00C42CEF" w:rsidRPr="00C42CEF">
        <w:t xml:space="preserve">согласованы с </w:t>
      </w:r>
      <w:r w:rsidR="00C42CEF">
        <w:t>Собственником</w:t>
      </w:r>
      <w:r w:rsidR="00B4225A">
        <w:t xml:space="preserve"> Имущества</w:t>
      </w:r>
      <w:r w:rsidR="00C42CEF">
        <w:t>.</w:t>
      </w:r>
    </w:p>
    <w:p w:rsidR="006B39F3" w:rsidRPr="006B39F3" w:rsidRDefault="001F5372" w:rsidP="00C42CEF">
      <w:pPr>
        <w:tabs>
          <w:tab w:val="left" w:pos="1418"/>
        </w:tabs>
        <w:ind w:firstLine="566"/>
      </w:pPr>
      <w:r>
        <w:t>Б</w:t>
      </w:r>
      <w:r w:rsidR="006B39F3">
        <w:t>анк</w:t>
      </w:r>
      <w:r>
        <w:t>, предоставляющий кредитные средства</w:t>
      </w:r>
      <w:r w:rsidR="001051D4">
        <w:t xml:space="preserve"> на приобретение Имущества</w:t>
      </w:r>
      <w:r>
        <w:t>,</w:t>
      </w:r>
      <w:r w:rsidR="006B39F3">
        <w:t xml:space="preserve"> должен </w:t>
      </w:r>
      <w:r w:rsidR="006B39F3" w:rsidRPr="006B39F3">
        <w:t>вход</w:t>
      </w:r>
      <w:r w:rsidR="006B39F3">
        <w:t>ить</w:t>
      </w:r>
      <w:r w:rsidR="006B39F3" w:rsidRPr="006B39F3">
        <w:t xml:space="preserve"> в первую десятку рейтинга банков по надежности по данным Центробанка на 2018 год (список Топ-100)</w:t>
      </w:r>
      <w:r w:rsidR="006B39F3">
        <w:t>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6B39F3">
        <w:t>а также условий банка (в случае оплаты цены Имущества кредитными средствами</w:t>
      </w:r>
      <w:r w:rsidR="00B4225A">
        <w:t xml:space="preserve"> банка</w:t>
      </w:r>
      <w:r w:rsidR="006B39F3">
        <w:t xml:space="preserve">),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1F5372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1F5372" w:rsidRPr="00F62696" w:rsidRDefault="001F5372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предоставления Участнику аукциона кредитных средств на приобретение Имущества банком, не входящим</w:t>
      </w:r>
      <w:r w:rsidRPr="001F5372">
        <w:rPr>
          <w:rFonts w:ascii="Times New Roman" w:hAnsi="Times New Roman"/>
          <w:sz w:val="28"/>
          <w:szCs w:val="28"/>
        </w:rPr>
        <w:t xml:space="preserve">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254C51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254C51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</w:t>
      </w:r>
      <w:r w:rsidRPr="00F62696">
        <w:lastRenderedPageBreak/>
        <w:t>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5812FD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5812FD" w:rsidRPr="005812FD" w:rsidRDefault="006A0F51" w:rsidP="005812FD">
      <w:pPr>
        <w:pStyle w:val="afff2"/>
        <w:widowControl w:val="0"/>
        <w:ind w:firstLine="709"/>
        <w:rPr>
          <w:rStyle w:val="2a"/>
          <w:i/>
          <w:sz w:val="24"/>
          <w:szCs w:val="24"/>
        </w:rPr>
      </w:pPr>
      <w:r>
        <w:rPr>
          <w:i/>
          <w:sz w:val="24"/>
          <w:szCs w:val="24"/>
        </w:rPr>
        <w:t>Оплата оставшейся части Цены Имущества, указанной в пункте 3.2.2 настоящего Договора, в</w:t>
      </w:r>
      <w:r w:rsidR="005812FD">
        <w:rPr>
          <w:i/>
          <w:sz w:val="24"/>
          <w:szCs w:val="24"/>
        </w:rPr>
        <w:t>озможна с привлечением кредитных средств, предоставляемых Покупателю банком, входящим в первую десятку</w:t>
      </w:r>
      <w:r w:rsidR="00E670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</w:t>
      </w:r>
      <w:r w:rsidRPr="006A0F51">
        <w:rPr>
          <w:i/>
          <w:sz w:val="24"/>
          <w:szCs w:val="24"/>
        </w:rPr>
        <w:t>перехода права собственности на недвижимое имущество к Покупателю.</w:t>
      </w:r>
      <w:r>
        <w:rPr>
          <w:i/>
          <w:sz w:val="24"/>
          <w:szCs w:val="24"/>
        </w:rPr>
        <w:t xml:space="preserve"> В таком случае </w:t>
      </w:r>
      <w:r w:rsidR="00DA3CF3">
        <w:rPr>
          <w:i/>
          <w:sz w:val="24"/>
          <w:szCs w:val="24"/>
        </w:rPr>
        <w:t>проект</w:t>
      </w:r>
      <w:r w:rsidR="00AF73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Договора </w:t>
      </w:r>
      <w:r w:rsidR="00AF7324">
        <w:rPr>
          <w:i/>
          <w:sz w:val="24"/>
          <w:szCs w:val="24"/>
        </w:rPr>
        <w:t>буд</w:t>
      </w:r>
      <w:r w:rsidR="00DA3CF3">
        <w:rPr>
          <w:i/>
          <w:sz w:val="24"/>
          <w:szCs w:val="24"/>
        </w:rPr>
        <w:t>е</w:t>
      </w:r>
      <w:r w:rsidR="00AF7324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адап</w:t>
      </w:r>
      <w:r w:rsidR="00AF7324">
        <w:rPr>
          <w:i/>
          <w:sz w:val="24"/>
          <w:szCs w:val="24"/>
        </w:rPr>
        <w:t>тирован</w:t>
      </w:r>
      <w:r>
        <w:rPr>
          <w:i/>
          <w:sz w:val="24"/>
          <w:szCs w:val="24"/>
        </w:rPr>
        <w:t xml:space="preserve"> согласно требованиям </w:t>
      </w:r>
      <w:r w:rsidR="0070184B">
        <w:rPr>
          <w:i/>
          <w:sz w:val="24"/>
          <w:szCs w:val="24"/>
        </w:rPr>
        <w:t>банка</w:t>
      </w:r>
      <w:r w:rsidR="00DA3CF3">
        <w:rPr>
          <w:i/>
          <w:sz w:val="24"/>
          <w:szCs w:val="24"/>
        </w:rPr>
        <w:t xml:space="preserve"> путем включения необходимых условий, </w:t>
      </w:r>
      <w:r w:rsidR="006B39F3">
        <w:rPr>
          <w:i/>
          <w:sz w:val="24"/>
          <w:szCs w:val="24"/>
        </w:rPr>
        <w:t xml:space="preserve">которые </w:t>
      </w:r>
      <w:r w:rsidR="00DA3CF3">
        <w:rPr>
          <w:i/>
          <w:sz w:val="24"/>
          <w:szCs w:val="24"/>
        </w:rPr>
        <w:t xml:space="preserve">предварительно </w:t>
      </w:r>
      <w:r w:rsidR="006B39F3">
        <w:rPr>
          <w:i/>
          <w:sz w:val="24"/>
          <w:szCs w:val="24"/>
        </w:rPr>
        <w:t>должны быть согласован</w:t>
      </w:r>
      <w:r w:rsidR="00DA3CF3">
        <w:rPr>
          <w:i/>
          <w:sz w:val="24"/>
          <w:szCs w:val="24"/>
        </w:rPr>
        <w:t>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7A" w:rsidRDefault="00794D7A">
      <w:r>
        <w:separator/>
      </w:r>
    </w:p>
  </w:endnote>
  <w:endnote w:type="continuationSeparator" w:id="0">
    <w:p w:rsidR="00794D7A" w:rsidRDefault="0079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7A" w:rsidRDefault="00794D7A">
      <w:r>
        <w:separator/>
      </w:r>
    </w:p>
  </w:footnote>
  <w:footnote w:type="continuationSeparator" w:id="0">
    <w:p w:rsidR="00794D7A" w:rsidRDefault="0079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D4" w:rsidRDefault="001051D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4C51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D4" w:rsidRDefault="001051D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051D4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5372"/>
    <w:rsid w:val="00200D9F"/>
    <w:rsid w:val="0020178A"/>
    <w:rsid w:val="00202E0A"/>
    <w:rsid w:val="0020456E"/>
    <w:rsid w:val="00211CCF"/>
    <w:rsid w:val="00216747"/>
    <w:rsid w:val="00226223"/>
    <w:rsid w:val="00231713"/>
    <w:rsid w:val="00244A80"/>
    <w:rsid w:val="00246198"/>
    <w:rsid w:val="00253536"/>
    <w:rsid w:val="00253DD5"/>
    <w:rsid w:val="00254C51"/>
    <w:rsid w:val="0026137B"/>
    <w:rsid w:val="00264994"/>
    <w:rsid w:val="002729A7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4146"/>
    <w:rsid w:val="003658E9"/>
    <w:rsid w:val="00366F89"/>
    <w:rsid w:val="00375BCC"/>
    <w:rsid w:val="00375C09"/>
    <w:rsid w:val="003766B2"/>
    <w:rsid w:val="00381331"/>
    <w:rsid w:val="00385466"/>
    <w:rsid w:val="00394ED7"/>
    <w:rsid w:val="0039798A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0949"/>
    <w:rsid w:val="004B289C"/>
    <w:rsid w:val="004B2C78"/>
    <w:rsid w:val="004C185D"/>
    <w:rsid w:val="004C1893"/>
    <w:rsid w:val="004C2034"/>
    <w:rsid w:val="004C64D5"/>
    <w:rsid w:val="004C69B3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12FD"/>
    <w:rsid w:val="005838ED"/>
    <w:rsid w:val="0058496C"/>
    <w:rsid w:val="0059029C"/>
    <w:rsid w:val="005922D4"/>
    <w:rsid w:val="005A253D"/>
    <w:rsid w:val="005A78D0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15276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51"/>
    <w:rsid w:val="006A0F84"/>
    <w:rsid w:val="006A3206"/>
    <w:rsid w:val="006A3259"/>
    <w:rsid w:val="006B08A5"/>
    <w:rsid w:val="006B2A49"/>
    <w:rsid w:val="006B39F3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84B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4D7A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16F3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442C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AF7324"/>
    <w:rsid w:val="00B21625"/>
    <w:rsid w:val="00B26471"/>
    <w:rsid w:val="00B332FB"/>
    <w:rsid w:val="00B333CC"/>
    <w:rsid w:val="00B3348E"/>
    <w:rsid w:val="00B3352A"/>
    <w:rsid w:val="00B34057"/>
    <w:rsid w:val="00B35C5B"/>
    <w:rsid w:val="00B4225A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2CE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15"/>
    <w:rsid w:val="00D949C1"/>
    <w:rsid w:val="00D96289"/>
    <w:rsid w:val="00D977BF"/>
    <w:rsid w:val="00DA0207"/>
    <w:rsid w:val="00DA3CF3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670E0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EF40A8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2E1D79"/>
    <w:rsid w:val="0032322F"/>
    <w:rsid w:val="00347167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03C59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45E45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0D58-F7CE-44A5-AAF3-D6E447D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2018-04-13T06:41:00Z</cp:lastPrinted>
  <dcterms:created xsi:type="dcterms:W3CDTF">2018-04-13T06:36:00Z</dcterms:created>
  <dcterms:modified xsi:type="dcterms:W3CDTF">2018-04-13T06:42:00Z</dcterms:modified>
</cp:coreProperties>
</file>