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>именуемое в дальнейшем «Продавец», в лице генерального дирек</w:t>
      </w:r>
      <w:r w:rsidR="00E32925">
        <w:rPr>
          <w:rFonts w:eastAsia="Times New Roman"/>
          <w:lang w:eastAsia="en-US"/>
        </w:rPr>
        <w:t>тора Ванина Алексея Валерьевича</w:t>
      </w:r>
      <w:r w:rsidRPr="003775EC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настоящий договор купли-продажи </w:t>
      </w:r>
      <w:r w:rsidR="00BF2885">
        <w:rPr>
          <w:rFonts w:eastAsia="Times New Roman"/>
          <w:lang w:eastAsia="en-US"/>
        </w:rPr>
        <w:t>земельного участка,</w:t>
      </w:r>
      <w:r w:rsidR="003D08E1">
        <w:rPr>
          <w:rFonts w:eastAsia="Times New Roman"/>
          <w:lang w:eastAsia="en-US"/>
        </w:rPr>
        <w:t xml:space="preserve"> расположенного по адресу: Ленинградская область, Выборгский район, МО «Полянское сельское поселение», вблизи поселка Горьковское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65BD3" w:rsidRPr="00A65BD3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A65BD3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 w:rsidRPr="00A65BD3">
        <w:rPr>
          <w:rFonts w:eastAsia="Times New Roman"/>
          <w:lang w:eastAsia="en-US"/>
        </w:rPr>
        <w:t>енности Продавца на И</w:t>
      </w:r>
      <w:r w:rsidRPr="00A65BD3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</w:t>
      </w:r>
      <w:r w:rsidR="008E0B06" w:rsidRPr="00A65BD3">
        <w:rPr>
          <w:rFonts w:eastAsia="Times New Roman"/>
          <w:lang w:eastAsia="en-US"/>
        </w:rPr>
        <w:t xml:space="preserve">, что подтверждается свидетельством о государственной регистрации права </w:t>
      </w:r>
      <w:r w:rsidR="00136F8E">
        <w:rPr>
          <w:rFonts w:eastAsia="Times New Roman"/>
          <w:lang w:eastAsia="en-US"/>
        </w:rPr>
        <w:t>47</w:t>
      </w:r>
      <w:r w:rsidR="00A65BD3" w:rsidRPr="00A65BD3">
        <w:rPr>
          <w:rFonts w:eastAsia="Times New Roman"/>
          <w:lang w:eastAsia="en-US"/>
        </w:rPr>
        <w:t>№</w:t>
      </w:r>
      <w:r w:rsidR="00136F8E">
        <w:rPr>
          <w:rFonts w:eastAsia="Times New Roman"/>
          <w:lang w:eastAsia="en-US"/>
        </w:rPr>
        <w:t>124133 от 29 июня 2016</w:t>
      </w:r>
      <w:r w:rsidR="00A65BD3" w:rsidRPr="00A65BD3">
        <w:rPr>
          <w:rFonts w:eastAsia="Times New Roman"/>
          <w:lang w:eastAsia="en-US"/>
        </w:rPr>
        <w:t xml:space="preserve"> года. </w:t>
      </w:r>
    </w:p>
    <w:p w:rsidR="00286B72" w:rsidRPr="00A65BD3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A65BD3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0435B4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fldSimple w:instr=" REF _Ref369266214 \r \h  \* MERGEFORMAT ">
        <w:r w:rsidR="00DB5BC5">
          <w:rPr>
            <w:rFonts w:eastAsia="Times New Roman"/>
            <w:bCs/>
            <w:lang w:eastAsia="en-US"/>
          </w:rPr>
          <w:t>3</w:t>
        </w:r>
      </w:fldSimple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fldSimple w:instr=" REF _Ref369266027 \r \h  \* MERGEFORMAT ">
        <w:r w:rsidR="00DB5BC5">
          <w:rPr>
            <w:rFonts w:eastAsia="Times New Roman"/>
            <w:bCs/>
            <w:lang w:eastAsia="en-US"/>
          </w:rPr>
          <w:t>4.2</w:t>
        </w:r>
      </w:fldSimple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рабочих дней с даты государственной  регистрации перехода</w:t>
      </w:r>
      <w:r w:rsidR="000D71CC">
        <w:rPr>
          <w:szCs w:val="20"/>
        </w:rPr>
        <w:t xml:space="preserve"> права собственности Имущество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</w:t>
      </w:r>
      <w:r w:rsidR="00AD7F68" w:rsidRPr="00E855C5">
        <w:rPr>
          <w:rFonts w:eastAsia="Times New Roman"/>
          <w:bCs/>
          <w:lang w:eastAsia="en-US"/>
        </w:rPr>
        <w:lastRenderedPageBreak/>
        <w:t>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BD4354">
        <w:t xml:space="preserve">Цена Имущества </w:t>
      </w:r>
      <w:r w:rsidR="00E855C5" w:rsidRPr="00BD4354">
        <w:t>определяется на основании</w:t>
      </w:r>
      <w:r w:rsidR="00E855C5">
        <w:rPr>
          <w:rFonts w:eastAsia="Times New Roman"/>
          <w:bCs/>
          <w:color w:val="00B050"/>
          <w:lang w:eastAsia="en-US"/>
        </w:rPr>
        <w:t xml:space="preserve"> </w:t>
      </w:r>
      <w:r w:rsidR="00E855C5" w:rsidRPr="00BD4354">
        <w:t xml:space="preserve">Протокола аукциона от «___» ____________20___г. № __________ является неотъемлемой частью договора и </w:t>
      </w:r>
      <w:r w:rsidRPr="00BD4354">
        <w:t>составляет (сумма цифрами и прописью) рублей (сумма) копеек (далее – «Цена Имущества»)</w:t>
      </w:r>
      <w:bookmarkEnd w:id="2"/>
      <w:r w:rsidRPr="00BD4354">
        <w:t xml:space="preserve"> 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fldSimple w:instr=" REF _Ref369542883 \r \h  \* MERGEFORMAT ">
        <w:r w:rsidR="00DB5BC5">
          <w:t>3.1</w:t>
        </w:r>
      </w:fldSimple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fldSimple w:instr=" REF _Ref369542883 \r \h  \* MERGEFORMAT ">
        <w:r w:rsidR="00DB5BC5">
          <w:rPr>
            <w:rFonts w:eastAsia="Times New Roman"/>
            <w:bCs/>
            <w:lang w:eastAsia="en-US"/>
          </w:rPr>
          <w:t>3.1</w:t>
        </w:r>
      </w:fldSimple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fldSimple w:instr=" REF _Ref369266726 \r \h  \* MERGEFORMAT ">
        <w:r w:rsidR="00DB5BC5">
          <w:rPr>
            <w:rFonts w:eastAsia="Times New Roman"/>
            <w:bCs/>
            <w:lang w:eastAsia="en-US"/>
          </w:rPr>
          <w:t>12</w:t>
        </w:r>
      </w:fldSimple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DB5BC5">
          <w:rPr>
            <w:rFonts w:eastAsia="Times New Roman"/>
            <w:bCs/>
            <w:lang w:eastAsia="en-US"/>
          </w:rPr>
          <w:t>3</w:t>
        </w:r>
      </w:fldSimple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lastRenderedPageBreak/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Pr="003775EC">
        <w:rPr>
          <w:rFonts w:eastAsia="Times New Roman"/>
          <w:bCs/>
          <w:lang w:eastAsia="en-US"/>
        </w:rPr>
        <w:lastRenderedPageBreak/>
        <w:t>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</w:t>
      </w:r>
      <w:r w:rsidRPr="005A3563">
        <w:rPr>
          <w:rFonts w:eastAsia="Times New Roman"/>
          <w:bCs/>
          <w:lang w:eastAsia="en-US"/>
        </w:rPr>
        <w:lastRenderedPageBreak/>
        <w:t>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Pr="00E4532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DB5BC5">
          <w:rPr>
            <w:rFonts w:eastAsia="Times New Roman"/>
            <w:bCs/>
            <w:lang w:eastAsia="en-US"/>
          </w:rPr>
          <w:t>3.1</w:t>
        </w:r>
      </w:fldSimple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DB5BC5">
          <w:rPr>
            <w:rFonts w:eastAsia="Times New Roman"/>
            <w:bCs/>
            <w:lang w:eastAsia="en-US"/>
          </w:rPr>
          <w:t>3</w:t>
        </w:r>
      </w:fldSimple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fldSimple w:instr=" REF _Ref369266316 \r \h  \* MERGEFORMAT ">
        <w:r w:rsidR="00DB5BC5">
          <w:rPr>
            <w:rFonts w:eastAsia="Times New Roman"/>
            <w:lang w:eastAsia="en-US"/>
          </w:rPr>
          <w:t>2.1</w:t>
        </w:r>
      </w:fldSimple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fldSimple w:instr=" REF _Ref369266316 \r \h  \* MERGEFORMAT ">
        <w:r w:rsidR="00DB5BC5" w:rsidRPr="00DB5BC5">
          <w:rPr>
            <w:rFonts w:eastAsia="Times New Roman"/>
            <w:spacing w:val="-3"/>
            <w:lang w:eastAsia="en-US"/>
          </w:rPr>
          <w:t>2.1</w:t>
        </w:r>
      </w:fldSimple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 xml:space="preserve"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</w:t>
      </w:r>
      <w:r w:rsidRPr="003775EC">
        <w:rPr>
          <w:rFonts w:eastAsia="Times New Roman"/>
          <w:lang w:eastAsia="en-US"/>
        </w:rPr>
        <w:lastRenderedPageBreak/>
        <w:t>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DB5BC5">
          <w:rPr>
            <w:rFonts w:eastAsia="Times New Roman"/>
            <w:lang w:eastAsia="en-US"/>
          </w:rPr>
          <w:t>10.3</w:t>
        </w:r>
      </w:fldSimple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fldSimple w:instr=" REF _Ref369266726 \r \h  \* MERGEFORMAT ">
        <w:r w:rsidR="00DB5BC5">
          <w:rPr>
            <w:rFonts w:eastAsia="Times New Roman"/>
            <w:lang w:eastAsia="en-US"/>
          </w:rPr>
          <w:t>12</w:t>
        </w:r>
      </w:fldSimple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Default="00BF4EA1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 3</w:t>
      </w:r>
      <w:r w:rsidR="00735E4E">
        <w:rPr>
          <w:rFonts w:eastAsia="Times New Roman"/>
          <w:lang w:eastAsia="en-US"/>
        </w:rPr>
        <w:t xml:space="preserve"> – Копия кадастровой выписки о</w:t>
      </w:r>
      <w:r w:rsidR="005259B5" w:rsidRPr="003775EC">
        <w:rPr>
          <w:rFonts w:eastAsia="Times New Roman"/>
          <w:lang w:eastAsia="en-US"/>
        </w:rPr>
        <w:t xml:space="preserve"> земе</w:t>
      </w:r>
      <w:r w:rsidR="00735E4E">
        <w:rPr>
          <w:rFonts w:eastAsia="Times New Roman"/>
          <w:lang w:eastAsia="en-US"/>
        </w:rPr>
        <w:t>льном участке</w:t>
      </w:r>
      <w:r w:rsidR="005259B5" w:rsidRPr="003775EC">
        <w:rPr>
          <w:rFonts w:eastAsia="Times New Roman"/>
          <w:lang w:eastAsia="en-US"/>
        </w:rPr>
        <w:t xml:space="preserve">. </w:t>
      </w:r>
    </w:p>
    <w:p w:rsidR="00735E4E" w:rsidRPr="003775EC" w:rsidRDefault="00BF4EA1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4</w:t>
      </w:r>
      <w:r w:rsidR="00735E4E">
        <w:rPr>
          <w:rFonts w:eastAsia="Times New Roman"/>
          <w:lang w:eastAsia="en-US"/>
        </w:rPr>
        <w:t xml:space="preserve"> – Копия свидетельства о государственной регистрации права.</w:t>
      </w:r>
    </w:p>
    <w:p w:rsidR="005259B5" w:rsidRPr="003775EC" w:rsidRDefault="00BF4EA1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5</w:t>
      </w:r>
      <w:r w:rsidR="00D95C23">
        <w:t xml:space="preserve"> – Копия плана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D7F68" w:rsidRPr="003775EC" w:rsidTr="00BD7434">
        <w:tc>
          <w:tcPr>
            <w:tcW w:w="2345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E32925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BD743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BD743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D7F68" w:rsidRPr="003775EC" w:rsidRDefault="00AD7F68" w:rsidP="003775E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3102F" w:rsidRPr="003775EC" w:rsidRDefault="0083102F">
      <w:pPr>
        <w:spacing w:after="160" w:line="259" w:lineRule="auto"/>
        <w:jc w:val="left"/>
      </w:pP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Перечень Имущества</w:t>
      </w: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F529AF" w:rsidRDefault="003C37BD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Земельный участок с кадас</w:t>
      </w:r>
      <w:r w:rsidR="00A65BD3">
        <w:rPr>
          <w:rFonts w:eastAsia="Times New Roman"/>
          <w:lang w:eastAsia="en-US"/>
        </w:rPr>
        <w:t>тровым номером 47:01:1629001:627</w:t>
      </w:r>
      <w:r w:rsidRPr="003775EC">
        <w:rPr>
          <w:rFonts w:eastAsia="Times New Roman"/>
          <w:lang w:eastAsia="en-US"/>
        </w:rPr>
        <w:t>, катего</w:t>
      </w:r>
      <w:r w:rsidR="002D1872">
        <w:rPr>
          <w:rFonts w:eastAsia="Times New Roman"/>
          <w:lang w:eastAsia="en-US"/>
        </w:rPr>
        <w:t xml:space="preserve">рия земель: </w:t>
      </w:r>
      <w:r w:rsidR="00F529AF">
        <w:rPr>
          <w:rFonts w:eastAsia="Times New Roman"/>
          <w:lang w:eastAsia="en-US"/>
        </w:rPr>
        <w:t xml:space="preserve">земли особо охраняемых территорий и объектов, разрешенное использование: под оздоровительный комплекс, общая площадь </w:t>
      </w:r>
      <w:r w:rsidR="00A65BD3">
        <w:rPr>
          <w:rFonts w:eastAsia="Times New Roman"/>
          <w:lang w:eastAsia="en-US"/>
        </w:rPr>
        <w:t>3 486</w:t>
      </w:r>
      <w:r w:rsidR="00F529AF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</w:t>
      </w:r>
      <w:r w:rsidR="00FC24C5">
        <w:rPr>
          <w:rFonts w:eastAsia="Times New Roman"/>
          <w:lang w:eastAsia="en-US"/>
        </w:rPr>
        <w:t xml:space="preserve">вблизи </w:t>
      </w:r>
      <w:r w:rsidR="00A65BD3">
        <w:rPr>
          <w:rFonts w:eastAsia="Times New Roman"/>
          <w:lang w:eastAsia="en-US"/>
        </w:rPr>
        <w:t>поселк</w:t>
      </w:r>
      <w:r w:rsidR="00FC24C5">
        <w:rPr>
          <w:rFonts w:eastAsia="Times New Roman"/>
          <w:lang w:eastAsia="en-US"/>
        </w:rPr>
        <w:t>а</w:t>
      </w:r>
      <w:r w:rsidR="00F529AF">
        <w:rPr>
          <w:rFonts w:eastAsia="Times New Roman"/>
          <w:lang w:eastAsia="en-US"/>
        </w:rPr>
        <w:t xml:space="preserve"> Горьковское</w:t>
      </w:r>
      <w:r w:rsidRPr="003775EC">
        <w:rPr>
          <w:rFonts w:eastAsia="Times New Roman"/>
          <w:lang w:eastAsia="en-US"/>
        </w:rPr>
        <w:t>, принадлежит АО «НИИЭФА» на праве собственности, что подтверждается свидетельством о государственной р</w:t>
      </w:r>
      <w:r w:rsidR="00A65BD3">
        <w:rPr>
          <w:rFonts w:eastAsia="Times New Roman"/>
          <w:lang w:eastAsia="en-US"/>
        </w:rPr>
        <w:t>егис</w:t>
      </w:r>
      <w:r w:rsidR="00FC24C5">
        <w:rPr>
          <w:rFonts w:eastAsia="Times New Roman"/>
          <w:lang w:eastAsia="en-US"/>
        </w:rPr>
        <w:t>трации права</w:t>
      </w:r>
      <w:r w:rsidR="00136F8E">
        <w:rPr>
          <w:rFonts w:eastAsia="Times New Roman"/>
          <w:lang w:eastAsia="en-US"/>
        </w:rPr>
        <w:t xml:space="preserve"> 47№124133 от 29 июня 2016</w:t>
      </w:r>
      <w:r w:rsidRPr="003775EC">
        <w:rPr>
          <w:rFonts w:eastAsia="Times New Roman"/>
          <w:lang w:eastAsia="en-US"/>
        </w:rPr>
        <w:t xml:space="preserve"> года.</w:t>
      </w:r>
      <w:r w:rsidR="00F529AF" w:rsidRPr="00F529AF">
        <w:t xml:space="preserve"> </w:t>
      </w:r>
    </w:p>
    <w:p w:rsidR="003C37BD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83102F" w:rsidRPr="003775EC" w:rsidTr="00BD743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E32925">
              <w:rPr>
                <w:rFonts w:eastAsia="Arial Unicode MS"/>
                <w:kern w:val="3"/>
                <w:lang w:eastAsia="zh-CN" w:bidi="hi-IN"/>
              </w:rPr>
              <w:t>___________________/А.В. 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83102F" w:rsidRPr="003775EC" w:rsidTr="00BD7434">
        <w:trPr>
          <w:trHeight w:val="308"/>
        </w:trPr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E32925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3C37BD" w:rsidRPr="00816CD2" w:rsidRDefault="003C37BD" w:rsidP="00816CD2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</w:t>
      </w:r>
      <w:r w:rsidR="00816CD2">
        <w:rPr>
          <w:rFonts w:eastAsia="Times New Roman"/>
          <w:lang w:eastAsia="en-US"/>
        </w:rPr>
        <w:t>участок</w:t>
      </w:r>
      <w:r w:rsidR="00816CD2" w:rsidRPr="00816CD2">
        <w:rPr>
          <w:rFonts w:eastAsia="Times New Roman"/>
          <w:lang w:eastAsia="en-US"/>
        </w:rPr>
        <w:t xml:space="preserve"> с кадас</w:t>
      </w:r>
      <w:r w:rsidR="00136F8E">
        <w:rPr>
          <w:rFonts w:eastAsia="Times New Roman"/>
          <w:lang w:eastAsia="en-US"/>
        </w:rPr>
        <w:t>тровым номером 47:01:1629001:627</w:t>
      </w:r>
      <w:r w:rsidR="00816CD2" w:rsidRPr="00816CD2">
        <w:rPr>
          <w:rFonts w:eastAsia="Times New Roman"/>
          <w:lang w:eastAsia="en-US"/>
        </w:rPr>
        <w:t xml:space="preserve">, категория земель: земли особо охраняемых территорий и объектов, разрешенное использование: под оздоровительный комплекс, общая площадь </w:t>
      </w:r>
      <w:r w:rsidR="00136F8E">
        <w:rPr>
          <w:rFonts w:eastAsia="Times New Roman"/>
          <w:lang w:eastAsia="en-US"/>
        </w:rPr>
        <w:t>3 486</w:t>
      </w:r>
      <w:r w:rsidR="00816CD2" w:rsidRPr="00816CD2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«Полянское сельское поселение», вблизи поселка Горьковское, принадлежит АО «НИИЭФА» на праве собственности, что подтверждается свидетельством о государстве</w:t>
      </w:r>
      <w:r w:rsidR="00136F8E">
        <w:rPr>
          <w:rFonts w:eastAsia="Times New Roman"/>
          <w:lang w:eastAsia="en-US"/>
        </w:rPr>
        <w:t>нной регистрации права 47</w:t>
      </w:r>
      <w:r w:rsidR="00816CD2" w:rsidRPr="00816CD2">
        <w:rPr>
          <w:rFonts w:eastAsia="Times New Roman"/>
          <w:lang w:eastAsia="en-US"/>
        </w:rPr>
        <w:t xml:space="preserve"> №</w:t>
      </w:r>
      <w:r w:rsidR="00136F8E">
        <w:rPr>
          <w:rFonts w:eastAsia="Times New Roman"/>
          <w:lang w:eastAsia="en-US"/>
        </w:rPr>
        <w:t>124133 от 29 июня 2016</w:t>
      </w:r>
      <w:r w:rsidR="00816CD2" w:rsidRPr="00816CD2">
        <w:rPr>
          <w:rFonts w:eastAsia="Times New Roman"/>
          <w:lang w:eastAsia="en-US"/>
        </w:rPr>
        <w:t xml:space="preserve"> года.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83102F" w:rsidRPr="003775EC" w:rsidTr="00BD7434">
        <w:tc>
          <w:tcPr>
            <w:tcW w:w="2345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E32925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__________________/А.В. Ванин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F4EA1" w:rsidRPr="003775EC" w:rsidRDefault="0083102F" w:rsidP="00BF4EA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bCs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</w:p>
    <w:p w:rsidR="00D95C23" w:rsidRDefault="00D95C23" w:rsidP="00BD4354">
      <w:pPr>
        <w:spacing w:after="160" w:line="259" w:lineRule="auto"/>
        <w:jc w:val="left"/>
      </w:pPr>
    </w:p>
    <w:p w:rsidR="00D95C23" w:rsidRPr="0093409E" w:rsidRDefault="00D95C23" w:rsidP="00D95C23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Приложение № </w:t>
      </w:r>
      <w:r w:rsidR="00BF4EA1">
        <w:rPr>
          <w:rFonts w:eastAsia="Times New Roman"/>
          <w:lang w:eastAsia="en-US"/>
        </w:rPr>
        <w:t>5</w:t>
      </w:r>
    </w:p>
    <w:p w:rsidR="00D95C23" w:rsidRPr="0093409E" w:rsidRDefault="00D95C23" w:rsidP="00D95C23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 Договору купли-продажи </w:t>
      </w:r>
    </w:p>
    <w:p w:rsidR="00D95C23" w:rsidRPr="0093409E" w:rsidRDefault="00D95C23" w:rsidP="00D95C2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от ____________№ _____ </w:t>
      </w:r>
    </w:p>
    <w:p w:rsidR="00D95C23" w:rsidRPr="0093409E" w:rsidRDefault="00D95C23" w:rsidP="00D95C2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D95C23" w:rsidRPr="0093409E" w:rsidRDefault="00D95C23" w:rsidP="00D95C23">
      <w:pPr>
        <w:spacing w:after="200"/>
        <w:jc w:val="center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Копия плана земельного участка </w:t>
      </w:r>
    </w:p>
    <w:p w:rsidR="00D95C23" w:rsidRPr="0093409E" w:rsidRDefault="00D95C23" w:rsidP="00D95C23">
      <w:r w:rsidRPr="0093409E">
        <w:t>План земельного участка площадью</w:t>
      </w:r>
      <w:r w:rsidRPr="0093409E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D80880D42C834FC79283CD3D3FC07906"/>
          </w:placeholder>
          <w:text/>
        </w:sdtPr>
        <w:sdtContent>
          <w:r w:rsidR="00136F8E">
            <w:rPr>
              <w:rFonts w:eastAsia="Times New Roman"/>
            </w:rPr>
            <w:t>3 486</w:t>
          </w:r>
        </w:sdtContent>
      </w:sdt>
      <w:r w:rsidRPr="0093409E">
        <w:t xml:space="preserve"> </w:t>
      </w:r>
      <w:r w:rsidRPr="0093409E">
        <w:rPr>
          <w:rFonts w:eastAsia="Times New Roman"/>
        </w:rPr>
        <w:t xml:space="preserve">кв. м, </w:t>
      </w:r>
      <w:r w:rsidRPr="0093409E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4BA2A9FB0CB047209E72792394AEA519"/>
          </w:placeholder>
          <w:text/>
        </w:sdtPr>
        <w:sdtContent>
          <w:r w:rsidRPr="004335A1">
            <w:rPr>
              <w:rFonts w:eastAsia="Times New Roman"/>
              <w:lang w:eastAsia="en-US"/>
            </w:rPr>
            <w:t>Ленинградская область, Выборгский район, МО «Полян</w:t>
          </w:r>
          <w:r w:rsidR="00136F8E">
            <w:rPr>
              <w:rFonts w:eastAsia="Times New Roman"/>
              <w:lang w:eastAsia="en-US"/>
            </w:rPr>
            <w:t xml:space="preserve">ское сельское поселение», </w:t>
          </w:r>
          <w:r w:rsidR="00FC24C5">
            <w:rPr>
              <w:rFonts w:eastAsia="Times New Roman"/>
              <w:lang w:eastAsia="en-US"/>
            </w:rPr>
            <w:t>вблизи</w:t>
          </w:r>
          <w:r w:rsidR="00136F8E">
            <w:rPr>
              <w:rFonts w:eastAsia="Times New Roman"/>
              <w:lang w:eastAsia="en-US"/>
            </w:rPr>
            <w:t xml:space="preserve"> поселк</w:t>
          </w:r>
          <w:r w:rsidR="00FC24C5">
            <w:rPr>
              <w:rFonts w:eastAsia="Times New Roman"/>
              <w:lang w:eastAsia="en-US"/>
            </w:rPr>
            <w:t>а</w:t>
          </w:r>
          <w:r w:rsidRPr="004335A1">
            <w:rPr>
              <w:rFonts w:eastAsia="Times New Roman"/>
              <w:lang w:eastAsia="en-US"/>
            </w:rPr>
            <w:t xml:space="preserve"> Горьковское</w:t>
          </w:r>
        </w:sdtContent>
      </w:sdt>
      <w:r w:rsidRPr="0093409E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850A1D01628C4FCA8ADAF1C9263BE2F8"/>
          </w:placeholder>
          <w:text/>
        </w:sdtPr>
        <w:sdtContent>
          <w:r w:rsidR="00136F8E">
            <w:rPr>
              <w:rFonts w:eastAsia="Times New Roman"/>
            </w:rPr>
            <w:t>47:01:1629001:627</w:t>
          </w:r>
        </w:sdtContent>
      </w:sdt>
      <w:r w:rsidRPr="0093409E">
        <w:t>.</w:t>
      </w: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Default="00D95C23" w:rsidP="00D95C23">
      <w:pPr>
        <w:rPr>
          <w:rFonts w:eastAsia="Times New Roman"/>
          <w:lang w:eastAsia="en-US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710949" cy="4772025"/>
            <wp:effectExtent l="0" t="0" r="4445" b="0"/>
            <wp:docPr id="3" name="Рисунок 3" descr="C:\Users\rodukova.anna\Desktop\Комитет горьковская\05.1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ukova.anna\Desktop\Комитет горьковская\05.10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7" b="36786"/>
                    <a:stretch/>
                  </pic:blipFill>
                  <pic:spPr bwMode="auto">
                    <a:xfrm>
                      <a:off x="0" y="0"/>
                      <a:ext cx="5723380" cy="47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Pr="003775EC" w:rsidRDefault="00D95C23" w:rsidP="00D95C23">
      <w:pPr>
        <w:spacing w:before="120" w:after="120"/>
        <w:jc w:val="center"/>
      </w:pPr>
      <w:r w:rsidRPr="003775EC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D95C23" w:rsidRPr="003775EC" w:rsidTr="000730F1">
        <w:tc>
          <w:tcPr>
            <w:tcW w:w="2345" w:type="pct"/>
          </w:tcPr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Металлострой,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дорога на Металлострой, д. 3 (совпадает с фактическим)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E32925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bookmarkStart w:id="11" w:name="_GoBack"/>
            <w:bookmarkEnd w:id="11"/>
            <w:r w:rsidR="00D95C23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D95C23" w:rsidRPr="003775EC" w:rsidRDefault="00D95C23" w:rsidP="000730F1"/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D95C23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5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3775EC">
              <w:rPr>
                <w:rStyle w:val="a5"/>
              </w:rPr>
              <w:t xml:space="preserve"> 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D95C23" w:rsidRPr="003775EC" w:rsidRDefault="00D95C23" w:rsidP="000730F1">
            <w:r w:rsidRPr="003775EC">
              <w:lastRenderedPageBreak/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D95C23" w:rsidRPr="00735E4E" w:rsidRDefault="00D95C23" w:rsidP="000730F1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D95C23" w:rsidRPr="00735E4E" w:rsidRDefault="00D95C23" w:rsidP="000730F1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D95C23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D95C23" w:rsidRDefault="00D95C23" w:rsidP="00BD4354">
      <w:pPr>
        <w:spacing w:after="160" w:line="259" w:lineRule="auto"/>
        <w:jc w:val="left"/>
      </w:pPr>
    </w:p>
    <w:sectPr w:rsidR="00D95C23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75" w:rsidRDefault="00D95C75" w:rsidP="003775EC">
      <w:r>
        <w:separator/>
      </w:r>
    </w:p>
  </w:endnote>
  <w:endnote w:type="continuationSeparator" w:id="0">
    <w:p w:rsidR="00D95C75" w:rsidRDefault="00D95C75" w:rsidP="0037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75" w:rsidRDefault="00D95C75" w:rsidP="003775EC">
      <w:r>
        <w:separator/>
      </w:r>
    </w:p>
  </w:footnote>
  <w:footnote w:type="continuationSeparator" w:id="0">
    <w:p w:rsidR="00D95C75" w:rsidRDefault="00D95C75" w:rsidP="00377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68"/>
    <w:rsid w:val="00017356"/>
    <w:rsid w:val="00037E36"/>
    <w:rsid w:val="000435B4"/>
    <w:rsid w:val="00075B87"/>
    <w:rsid w:val="000B2BFF"/>
    <w:rsid w:val="000D71CC"/>
    <w:rsid w:val="00136F8E"/>
    <w:rsid w:val="00181381"/>
    <w:rsid w:val="001C5C8F"/>
    <w:rsid w:val="002437B8"/>
    <w:rsid w:val="00265CAD"/>
    <w:rsid w:val="00272089"/>
    <w:rsid w:val="00286B72"/>
    <w:rsid w:val="002D1872"/>
    <w:rsid w:val="002F2618"/>
    <w:rsid w:val="002F4D38"/>
    <w:rsid w:val="0032754C"/>
    <w:rsid w:val="00345C6A"/>
    <w:rsid w:val="003775EC"/>
    <w:rsid w:val="00384C85"/>
    <w:rsid w:val="003C0886"/>
    <w:rsid w:val="003C37BD"/>
    <w:rsid w:val="003D08E1"/>
    <w:rsid w:val="0041584B"/>
    <w:rsid w:val="00436422"/>
    <w:rsid w:val="00452BD2"/>
    <w:rsid w:val="0048530C"/>
    <w:rsid w:val="004D7BD8"/>
    <w:rsid w:val="005259B5"/>
    <w:rsid w:val="005A3563"/>
    <w:rsid w:val="006009D8"/>
    <w:rsid w:val="00612A3C"/>
    <w:rsid w:val="00621B17"/>
    <w:rsid w:val="006756D8"/>
    <w:rsid w:val="006C4713"/>
    <w:rsid w:val="006D7915"/>
    <w:rsid w:val="00735E4E"/>
    <w:rsid w:val="0079666E"/>
    <w:rsid w:val="007C2E86"/>
    <w:rsid w:val="007D0343"/>
    <w:rsid w:val="007F49A1"/>
    <w:rsid w:val="00816503"/>
    <w:rsid w:val="00816CD2"/>
    <w:rsid w:val="0083102F"/>
    <w:rsid w:val="0084746C"/>
    <w:rsid w:val="008E0B06"/>
    <w:rsid w:val="008F2147"/>
    <w:rsid w:val="009351C5"/>
    <w:rsid w:val="00965C72"/>
    <w:rsid w:val="009E2039"/>
    <w:rsid w:val="009E5A3E"/>
    <w:rsid w:val="00A65BD3"/>
    <w:rsid w:val="00AA48EB"/>
    <w:rsid w:val="00AD7DBA"/>
    <w:rsid w:val="00AD7F68"/>
    <w:rsid w:val="00AE12D3"/>
    <w:rsid w:val="00B24F65"/>
    <w:rsid w:val="00B6311C"/>
    <w:rsid w:val="00B702EB"/>
    <w:rsid w:val="00BD4354"/>
    <w:rsid w:val="00BF2885"/>
    <w:rsid w:val="00BF4EA1"/>
    <w:rsid w:val="00C174A0"/>
    <w:rsid w:val="00C3775F"/>
    <w:rsid w:val="00C51103"/>
    <w:rsid w:val="00C6143E"/>
    <w:rsid w:val="00CB6752"/>
    <w:rsid w:val="00CF37C3"/>
    <w:rsid w:val="00CF4ECC"/>
    <w:rsid w:val="00D35B38"/>
    <w:rsid w:val="00D523DC"/>
    <w:rsid w:val="00D639C4"/>
    <w:rsid w:val="00D7278E"/>
    <w:rsid w:val="00D95C23"/>
    <w:rsid w:val="00D95C75"/>
    <w:rsid w:val="00DB5BC5"/>
    <w:rsid w:val="00DD374C"/>
    <w:rsid w:val="00E2676E"/>
    <w:rsid w:val="00E32925"/>
    <w:rsid w:val="00E45328"/>
    <w:rsid w:val="00E714E1"/>
    <w:rsid w:val="00E855C5"/>
    <w:rsid w:val="00ED6712"/>
    <w:rsid w:val="00EF1459"/>
    <w:rsid w:val="00EF37AF"/>
    <w:rsid w:val="00F071F8"/>
    <w:rsid w:val="00F34F27"/>
    <w:rsid w:val="00F529AF"/>
    <w:rsid w:val="00F85E8E"/>
    <w:rsid w:val="00F938BF"/>
    <w:rsid w:val="00F9531E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0880D42C834FC79283CD3D3FC0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76CFC-7CD3-4FC3-AA99-CE4DA0C417EC}"/>
      </w:docPartPr>
      <w:docPartBody>
        <w:p w:rsidR="00DD60CD" w:rsidRDefault="00DC5E4B" w:rsidP="00DC5E4B">
          <w:pPr>
            <w:pStyle w:val="D80880D42C834FC79283CD3D3FC07906"/>
          </w:pPr>
          <w:r>
            <w:rPr>
              <w:rStyle w:val="a3"/>
            </w:rPr>
            <w:t>__</w:t>
          </w:r>
        </w:p>
      </w:docPartBody>
    </w:docPart>
    <w:docPart>
      <w:docPartPr>
        <w:name w:val="4BA2A9FB0CB047209E72792394AEA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164CB-0363-49E6-B302-A53D8D312E0C}"/>
      </w:docPartPr>
      <w:docPartBody>
        <w:p w:rsidR="00DD60CD" w:rsidRDefault="00DC5E4B" w:rsidP="00DC5E4B">
          <w:pPr>
            <w:pStyle w:val="4BA2A9FB0CB047209E72792394AEA519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50A1D01628C4FCA8ADAF1C9263BE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590F2-3007-476D-8E9E-F74946EA1557}"/>
      </w:docPartPr>
      <w:docPartBody>
        <w:p w:rsidR="00DD60CD" w:rsidRDefault="00DC5E4B" w:rsidP="00DC5E4B">
          <w:pPr>
            <w:pStyle w:val="850A1D01628C4FCA8ADAF1C9263BE2F8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5E4B"/>
    <w:rsid w:val="000367B8"/>
    <w:rsid w:val="00144DB5"/>
    <w:rsid w:val="005B7B06"/>
    <w:rsid w:val="007C466B"/>
    <w:rsid w:val="008B47C1"/>
    <w:rsid w:val="00B316D2"/>
    <w:rsid w:val="00CC6E97"/>
    <w:rsid w:val="00DC5E4B"/>
    <w:rsid w:val="00D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E4B"/>
    <w:rPr>
      <w:color w:val="808080"/>
    </w:rPr>
  </w:style>
  <w:style w:type="paragraph" w:customStyle="1" w:styleId="D80880D42C834FC79283CD3D3FC07906">
    <w:name w:val="D80880D42C834FC79283CD3D3FC07906"/>
    <w:rsid w:val="00DC5E4B"/>
  </w:style>
  <w:style w:type="paragraph" w:customStyle="1" w:styleId="4BA2A9FB0CB047209E72792394AEA519">
    <w:name w:val="4BA2A9FB0CB047209E72792394AEA519"/>
    <w:rsid w:val="00DC5E4B"/>
  </w:style>
  <w:style w:type="paragraph" w:customStyle="1" w:styleId="850A1D01628C4FCA8ADAF1C9263BE2F8">
    <w:name w:val="850A1D01628C4FCA8ADAF1C9263BE2F8"/>
    <w:rsid w:val="00DC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4CD-BDFF-42E8-908F-56980504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ratnikov</cp:lastModifiedBy>
  <cp:revision>5</cp:revision>
  <cp:lastPrinted>2016-06-23T12:54:00Z</cp:lastPrinted>
  <dcterms:created xsi:type="dcterms:W3CDTF">2017-01-24T12:33:00Z</dcterms:created>
  <dcterms:modified xsi:type="dcterms:W3CDTF">2017-01-25T08:42:00Z</dcterms:modified>
</cp:coreProperties>
</file>