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2B" w:rsidRPr="00C6405A" w:rsidRDefault="00671A2B" w:rsidP="00C6405A">
      <w:pPr>
        <w:jc w:val="center"/>
      </w:pPr>
    </w:p>
    <w:p w:rsidR="009646B1" w:rsidRDefault="009646B1" w:rsidP="00671A2B">
      <w:pPr>
        <w:jc w:val="center"/>
      </w:pPr>
    </w:p>
    <w:p w:rsidR="00C6405A" w:rsidRDefault="00C6405A" w:rsidP="00671A2B">
      <w:pPr>
        <w:jc w:val="center"/>
      </w:pPr>
    </w:p>
    <w:p w:rsidR="00C6405A" w:rsidRDefault="00C6405A" w:rsidP="00671A2B">
      <w:pPr>
        <w:jc w:val="center"/>
      </w:pPr>
    </w:p>
    <w:p w:rsidR="00C6405A" w:rsidRDefault="00C6405A" w:rsidP="00671A2B">
      <w:pPr>
        <w:jc w:val="center"/>
      </w:pPr>
    </w:p>
    <w:p w:rsidR="00C6405A" w:rsidRDefault="00C6405A" w:rsidP="00671A2B">
      <w:pPr>
        <w:jc w:val="center"/>
      </w:pPr>
    </w:p>
    <w:p w:rsidR="00C6405A" w:rsidRDefault="00C6405A" w:rsidP="00671A2B">
      <w:pPr>
        <w:jc w:val="center"/>
      </w:pPr>
    </w:p>
    <w:p w:rsidR="00C6405A" w:rsidRDefault="00C6405A" w:rsidP="00671A2B">
      <w:pPr>
        <w:jc w:val="center"/>
      </w:pPr>
    </w:p>
    <w:p w:rsidR="00C6405A" w:rsidRDefault="00C6405A" w:rsidP="00671A2B">
      <w:pPr>
        <w:jc w:val="center"/>
      </w:pPr>
    </w:p>
    <w:p w:rsidR="00C6405A" w:rsidRDefault="00C6405A" w:rsidP="00671A2B">
      <w:pPr>
        <w:jc w:val="center"/>
      </w:pPr>
    </w:p>
    <w:p w:rsidR="00C6405A" w:rsidRDefault="00C6405A" w:rsidP="00671A2B">
      <w:pPr>
        <w:jc w:val="center"/>
      </w:pPr>
    </w:p>
    <w:p w:rsidR="00C6405A" w:rsidRDefault="00C6405A" w:rsidP="00671A2B">
      <w:pPr>
        <w:jc w:val="center"/>
      </w:pPr>
    </w:p>
    <w:p w:rsidR="00C6405A" w:rsidRDefault="00C6405A" w:rsidP="00671A2B">
      <w:pPr>
        <w:jc w:val="center"/>
      </w:pPr>
    </w:p>
    <w:p w:rsidR="00C6405A" w:rsidRDefault="00C6405A" w:rsidP="00671A2B">
      <w:pPr>
        <w:jc w:val="center"/>
      </w:pPr>
    </w:p>
    <w:p w:rsidR="00C6405A" w:rsidRDefault="00C6405A" w:rsidP="00671A2B">
      <w:pPr>
        <w:jc w:val="center"/>
      </w:pPr>
    </w:p>
    <w:p w:rsidR="005C4FDD" w:rsidRDefault="005C4FDD" w:rsidP="00671A2B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</w:t>
      </w:r>
      <w:r w:rsidR="00B3352A">
        <w:rPr>
          <w:caps/>
        </w:rPr>
        <w:br/>
      </w:r>
      <w:r w:rsidRPr="00F62696">
        <w:rPr>
          <w:caps/>
        </w:rPr>
        <w:t>аукцион</w:t>
      </w:r>
      <w:r w:rsidR="00B3352A">
        <w:rPr>
          <w:caps/>
        </w:rPr>
        <w:t>А НА ПОНИЖЕНИЕ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E00826">
        <w:t xml:space="preserve">объекта недвижимого имущества – </w:t>
      </w:r>
      <w:r w:rsidR="00196547" w:rsidRPr="00196547">
        <w:t>Открытой автостоянки гаража-600</w:t>
      </w:r>
      <w:r w:rsidR="00F9206A" w:rsidRPr="00F9206A">
        <w:t>, расположенно</w:t>
      </w:r>
      <w:r w:rsidR="000D7088">
        <w:t>й</w:t>
      </w:r>
      <w:r w:rsidR="00F9206A" w:rsidRPr="00F9206A">
        <w:t xml:space="preserve"> </w:t>
      </w:r>
      <w:r w:rsidR="00196547">
        <w:br/>
      </w:r>
      <w:r w:rsidR="00F9206A" w:rsidRPr="00F9206A">
        <w:t>по адресу: Калужская обл</w:t>
      </w:r>
      <w:r w:rsidR="00196547">
        <w:t>асть</w:t>
      </w:r>
      <w:r w:rsidR="00F9206A" w:rsidRPr="00F9206A">
        <w:t xml:space="preserve">, г. Обнинск, </w:t>
      </w:r>
      <w:r w:rsidR="00196547" w:rsidRPr="00196547">
        <w:t xml:space="preserve">Киевское шоссе, 23, </w:t>
      </w:r>
      <w:proofErr w:type="spellStart"/>
      <w:r w:rsidR="00196547" w:rsidRPr="00196547">
        <w:t>соор</w:t>
      </w:r>
      <w:proofErr w:type="spellEnd"/>
      <w:r w:rsidR="00196547" w:rsidRPr="00196547">
        <w:t>. 7</w:t>
      </w:r>
      <w:r w:rsidR="00F9206A" w:rsidRPr="00F9206A">
        <w:t xml:space="preserve">, </w:t>
      </w:r>
      <w:r w:rsidRPr="00F62696">
        <w:t>принадлежаще</w:t>
      </w:r>
      <w:r w:rsidR="0059029C">
        <w:t>й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C6405A">
        <w:t>20.03.</w:t>
      </w:r>
      <w:r w:rsidRPr="007334F6">
        <w:t>201</w:t>
      </w:r>
      <w:r w:rsidR="00AB255C">
        <w:t>8</w:t>
      </w:r>
      <w:r w:rsidRPr="007334F6">
        <w:t xml:space="preserve"> № 224/1.1.40-06/</w:t>
      </w:r>
      <w:r w:rsidR="00C6405A">
        <w:t>118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AE3B50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074559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3B50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074559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3B50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074559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3B50">
          <w:rPr>
            <w:noProof/>
            <w:webHidden/>
          </w:rPr>
          <w:t>14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074559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3B50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074559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3B50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074559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3B50">
          <w:rPr>
            <w:noProof/>
            <w:webHidden/>
          </w:rPr>
          <w:t>22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074559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3B50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074559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3B50">
          <w:rPr>
            <w:noProof/>
            <w:webHidden/>
          </w:rPr>
          <w:t>26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074559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AE3B50">
          <w:rPr>
            <w:noProof/>
            <w:webHidden/>
          </w:rPr>
          <w:t>28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0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0"/>
      <w:r w:rsidR="005F79BC">
        <w:rPr>
          <w:b w:val="0"/>
          <w:caps/>
        </w:rPr>
        <w:t xml:space="preserve"> НА ПОНИЖЕНИЕ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930CB2">
            <w:r>
              <w:t>а</w:t>
            </w:r>
            <w:r w:rsidR="00671A2B" w:rsidRPr="00F62696">
              <w:t xml:space="preserve">укцион на </w:t>
            </w:r>
            <w:r w:rsidR="00930CB2">
              <w:t>понижение</w:t>
            </w:r>
            <w:r w:rsidR="00671A2B" w:rsidRPr="00F62696">
              <w:t xml:space="preserve"> в электронной форме</w:t>
            </w:r>
            <w:r>
              <w:t xml:space="preserve"> </w:t>
            </w:r>
            <w:r>
              <w:br/>
              <w:t xml:space="preserve">(на </w:t>
            </w:r>
            <w:r w:rsidRPr="00F62696">
              <w:t>электронной торговой площадке</w:t>
            </w:r>
            <w:r>
              <w:t xml:space="preserve"> «Аукционный Конкурсный Дом» проводится под наименованием «Процедура реализации»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F95D3D">
                  <w:t>недвижимого имущества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59029C">
            <w:r w:rsidRPr="00F734AB">
              <w:t xml:space="preserve">Калужская область, г. Обнинск, </w:t>
            </w:r>
            <w:r w:rsidR="00196547" w:rsidRPr="00196547">
              <w:t xml:space="preserve">Киевское шоссе, 23, </w:t>
            </w:r>
            <w:proofErr w:type="spellStart"/>
            <w:r w:rsidR="00196547" w:rsidRPr="00196547">
              <w:t>соор</w:t>
            </w:r>
            <w:proofErr w:type="spellEnd"/>
            <w:r w:rsidR="00196547" w:rsidRPr="00196547">
              <w:t>. 7</w:t>
            </w:r>
          </w:p>
        </w:tc>
      </w:tr>
      <w:tr w:rsidR="00671A2B" w:rsidRPr="00F62696" w:rsidTr="0059029C">
        <w:trPr>
          <w:trHeight w:val="156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196547" w:rsidRPr="00196547" w:rsidRDefault="00196547" w:rsidP="00196547">
            <w:pPr>
              <w:rPr>
                <w:u w:val="single"/>
              </w:rPr>
            </w:pPr>
            <w:r w:rsidRPr="00196547">
              <w:rPr>
                <w:u w:val="single"/>
              </w:rPr>
              <w:t>Сооружение – Открытая автостоянка гаража-600</w:t>
            </w:r>
          </w:p>
          <w:p w:rsidR="00196547" w:rsidRPr="00196547" w:rsidRDefault="00196547" w:rsidP="00196547">
            <w:r>
              <w:t>к</w:t>
            </w:r>
            <w:r w:rsidRPr="00196547">
              <w:t>ада</w:t>
            </w:r>
            <w:r>
              <w:t>стровый номер: 40:27:040202:420</w:t>
            </w:r>
          </w:p>
          <w:p w:rsidR="00196547" w:rsidRPr="00196547" w:rsidRDefault="00196547" w:rsidP="00196547">
            <w:r>
              <w:t>н</w:t>
            </w:r>
            <w:r w:rsidRPr="00196547">
              <w:t>азначение: нежилое</w:t>
            </w:r>
          </w:p>
          <w:p w:rsidR="00196547" w:rsidRPr="00196547" w:rsidRDefault="00196547" w:rsidP="00196547">
            <w:r>
              <w:t>о</w:t>
            </w:r>
            <w:r w:rsidRPr="00196547">
              <w:t>бщая площадь: 12217,5 кв. м</w:t>
            </w:r>
          </w:p>
          <w:p w:rsidR="00196547" w:rsidRDefault="00196547" w:rsidP="00196547">
            <w:r>
              <w:t>з</w:t>
            </w:r>
            <w:r w:rsidRPr="00196547">
              <w:t>амощение: асфальтобетон</w:t>
            </w:r>
          </w:p>
          <w:p w:rsidR="00196547" w:rsidRPr="00196547" w:rsidRDefault="00196547" w:rsidP="00196547">
            <w:r>
              <w:t>право: собственность</w:t>
            </w:r>
          </w:p>
          <w:p w:rsidR="00196547" w:rsidRPr="00196547" w:rsidRDefault="00196547" w:rsidP="00196547">
            <w:r w:rsidRPr="00196547">
              <w:t>Имущество в числе прочих объектов недвижимого имущества АО «ГНЦ РФ – ФЭИ» расположено на общем земельном участке с кадастровым номером 40:27:040202:1 площадью 81027 кв. м, находящемся в собственности Российской Федерации, и предоставленном АО «ГНЦ РФ – ФЭИ» в аренду на 10 лет. При необходимости межевание земельного участка осуществляется после продажи Имущества.</w:t>
            </w:r>
          </w:p>
          <w:p w:rsidR="005F79BC" w:rsidRPr="00F62696" w:rsidRDefault="00196547" w:rsidP="00CD70A0">
            <w:r w:rsidRPr="00196547">
              <w:t>В стоимость Имущества включена стоимость права пользования земельным участком, равным площади застройки – 12217,5 кв. м,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074559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074559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Начальная </w:t>
            </w:r>
            <w:r w:rsidR="00774997">
              <w:t xml:space="preserve">(максимальная) </w:t>
            </w:r>
            <w:r w:rsidRPr="00F62696">
              <w:t>цена:</w:t>
            </w:r>
          </w:p>
        </w:tc>
        <w:tc>
          <w:tcPr>
            <w:tcW w:w="5916" w:type="dxa"/>
          </w:tcPr>
          <w:p w:rsidR="00671A2B" w:rsidRPr="00F62696" w:rsidRDefault="00196547" w:rsidP="00196547">
            <w:r w:rsidRPr="00196547">
              <w:t>17 </w:t>
            </w:r>
            <w:r>
              <w:t>854</w:t>
            </w:r>
            <w:r w:rsidRPr="00196547">
              <w:t xml:space="preserve"> 000 (Семнадцать миллионов </w:t>
            </w:r>
            <w:r>
              <w:t>восемьсот пятьдесят четыре</w:t>
            </w:r>
            <w:r w:rsidRPr="00196547">
              <w:t xml:space="preserve"> тысяч</w:t>
            </w:r>
            <w:r>
              <w:t>и</w:t>
            </w:r>
            <w:r w:rsidRPr="00196547">
              <w:t xml:space="preserve">) рублей 00 копеек, </w:t>
            </w:r>
            <w:r>
              <w:br/>
            </w:r>
            <w:r w:rsidRPr="00196547">
              <w:t>в том числе НДС 18% – 2 </w:t>
            </w:r>
            <w:r>
              <w:t>723</w:t>
            </w:r>
            <w:r w:rsidRPr="00196547">
              <w:t> </w:t>
            </w:r>
            <w:r>
              <w:t>491</w:t>
            </w:r>
            <w:r w:rsidRPr="00196547">
              <w:t xml:space="preserve"> (Два миллиона </w:t>
            </w:r>
            <w:r>
              <w:t>сем</w:t>
            </w:r>
            <w:r w:rsidRPr="00196547">
              <w:t xml:space="preserve">ьсот двадцать </w:t>
            </w:r>
            <w:r>
              <w:t>три</w:t>
            </w:r>
            <w:r w:rsidRPr="00196547">
              <w:t xml:space="preserve"> тысяч</w:t>
            </w:r>
            <w:r>
              <w:t>и</w:t>
            </w:r>
            <w:r w:rsidRPr="00196547">
              <w:t xml:space="preserve"> </w:t>
            </w:r>
            <w:r>
              <w:t>четыреста девяносто один</w:t>
            </w:r>
            <w:r w:rsidRPr="00196547">
              <w:t>) рубл</w:t>
            </w:r>
            <w:r>
              <w:t>ь</w:t>
            </w:r>
            <w:r w:rsidRPr="00196547">
              <w:t xml:space="preserve"> </w:t>
            </w:r>
            <w:r>
              <w:t>53</w:t>
            </w:r>
            <w:r w:rsidRPr="00196547">
              <w:t xml:space="preserve"> копе</w:t>
            </w:r>
            <w:r>
              <w:t>йки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69546E">
            <w:r>
              <w:t>Величина понижения начальной цены (шаг понижения):</w:t>
            </w:r>
          </w:p>
        </w:tc>
        <w:tc>
          <w:tcPr>
            <w:tcW w:w="5916" w:type="dxa"/>
          </w:tcPr>
          <w:p w:rsidR="00774997" w:rsidRDefault="00BF2CCA" w:rsidP="00BF2CCA">
            <w:r>
              <w:t>639</w:t>
            </w:r>
            <w:r w:rsidR="00BB4DEA">
              <w:t> </w:t>
            </w:r>
            <w:r>
              <w:t>5</w:t>
            </w:r>
            <w:r w:rsidR="00BB4DEA">
              <w:t>00 (</w:t>
            </w:r>
            <w:r>
              <w:t>Шестьсот тридцать девять</w:t>
            </w:r>
            <w:r w:rsidR="0017411D">
              <w:t xml:space="preserve"> тысяч</w:t>
            </w:r>
            <w:r>
              <w:t xml:space="preserve"> пятьсот</w:t>
            </w:r>
            <w:r w:rsidR="00BB4DEA">
              <w:t>) рублей 00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Величина повышения цены </w:t>
            </w:r>
            <w:r w:rsidR="00774997">
              <w:t xml:space="preserve">от предыдущего предложения </w:t>
            </w:r>
            <w:r w:rsidRPr="00F62696">
              <w:t>(шаг аукциона</w:t>
            </w:r>
            <w:r w:rsidR="00774997">
              <w:t xml:space="preserve"> на повышение</w:t>
            </w:r>
            <w:r w:rsidRPr="00F62696">
              <w:t>):</w:t>
            </w:r>
          </w:p>
        </w:tc>
        <w:tc>
          <w:tcPr>
            <w:tcW w:w="5916" w:type="dxa"/>
          </w:tcPr>
          <w:p w:rsidR="00671A2B" w:rsidRPr="00F62696" w:rsidRDefault="00BF2CCA" w:rsidP="007D61EA">
            <w:r w:rsidRPr="00BF2CCA">
              <w:t>639 500 (Шестьсот тридцать девять тысяч пятьсот) рублей 00 копеек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774997">
            <w:r>
              <w:t>Цена отсечения (минимальная цена):</w:t>
            </w:r>
          </w:p>
        </w:tc>
        <w:tc>
          <w:tcPr>
            <w:tcW w:w="5916" w:type="dxa"/>
          </w:tcPr>
          <w:p w:rsidR="00774997" w:rsidRDefault="00196547" w:rsidP="00BF2CCA">
            <w:r>
              <w:t>11</w:t>
            </w:r>
            <w:r w:rsidRPr="00196547">
              <w:t> </w:t>
            </w:r>
            <w:r>
              <w:t>459</w:t>
            </w:r>
            <w:r w:rsidRPr="00196547">
              <w:t> 000 (</w:t>
            </w:r>
            <w:r>
              <w:t>Один</w:t>
            </w:r>
            <w:r w:rsidRPr="00196547">
              <w:t xml:space="preserve">надцать миллионов </w:t>
            </w:r>
            <w:r>
              <w:t>четыреста пятьдесят девять</w:t>
            </w:r>
            <w:r w:rsidRPr="00196547">
              <w:t xml:space="preserve"> тысяч) рублей 00 копеек, в том числе НДС 18% – 1 </w:t>
            </w:r>
            <w:r w:rsidR="00BF2CCA">
              <w:t>747</w:t>
            </w:r>
            <w:r w:rsidRPr="00196547">
              <w:t> </w:t>
            </w:r>
            <w:r w:rsidR="00BF2CCA">
              <w:t>983</w:t>
            </w:r>
            <w:r w:rsidRPr="00196547">
              <w:t xml:space="preserve"> (Один миллион семьсот </w:t>
            </w:r>
            <w:r w:rsidR="00BF2CCA">
              <w:t>сорок</w:t>
            </w:r>
            <w:r w:rsidRPr="00196547">
              <w:t xml:space="preserve"> семь тысяч </w:t>
            </w:r>
            <w:r w:rsidR="00BF2CCA">
              <w:t>девятьсот восемьдесят три</w:t>
            </w:r>
            <w:r w:rsidRPr="00196547">
              <w:t>) рубл</w:t>
            </w:r>
            <w:r w:rsidR="00BF2CCA">
              <w:t>я</w:t>
            </w:r>
            <w:r w:rsidRPr="00196547">
              <w:t xml:space="preserve"> </w:t>
            </w:r>
            <w:r w:rsidR="00BF2CCA">
              <w:t>05</w:t>
            </w:r>
            <w:r w:rsidRPr="00196547">
              <w:t xml:space="preserve"> копе</w:t>
            </w:r>
            <w:r w:rsidR="00BF2CCA">
              <w:t>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 xml:space="preserve">Условия, варианты и сроки оплаты по договору, заключаемому </w:t>
            </w:r>
            <w:r w:rsidRPr="00F62696">
              <w:lastRenderedPageBreak/>
              <w:t>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lastRenderedPageBreak/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797418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5.8 Извещения)</w:t>
            </w:r>
            <w:r w:rsidRPr="00F62696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BF2CCA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797418">
              <w:t>цены отсечения</w:t>
            </w:r>
            <w:r w:rsidR="00671A2B" w:rsidRPr="00F62696">
              <w:t xml:space="preserve">, что составляет </w:t>
            </w:r>
            <w:r w:rsidR="00BF2CCA">
              <w:t>2 291</w:t>
            </w:r>
            <w:r w:rsidR="00D5381B" w:rsidRPr="00797418">
              <w:t> </w:t>
            </w:r>
            <w:r w:rsidR="00BF2CCA">
              <w:t>8</w:t>
            </w:r>
            <w:r w:rsidR="00A2042A" w:rsidRPr="00797418">
              <w:t>00</w:t>
            </w:r>
            <w:r w:rsidR="00BB5C75" w:rsidRPr="00797418">
              <w:t xml:space="preserve"> (</w:t>
            </w:r>
            <w:r w:rsidR="00BF2CCA">
              <w:t>Два миллиона двести девяносто одна тысяча восемьсот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>, в Калужском 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DC194B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DC194B">
              <w:t>8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BF2CCA" w:rsidRPr="00BF2CCA">
              <w:t>Открытой автостоянки гаража-600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A66C0E">
              <w:t>й</w:t>
            </w:r>
            <w:r w:rsidRPr="00F62696">
              <w:t xml:space="preserve"> </w:t>
            </w:r>
            <w:r>
              <w:t>АО «ГНЦ РФ</w:t>
            </w:r>
            <w:r w:rsidR="008558DB">
              <w:t xml:space="preserve"> –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AE3B50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074559" w:rsidP="00074559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 марта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DC194B">
              <w:rPr>
                <w:bCs/>
                <w:spacing w:val="-1"/>
              </w:rPr>
              <w:t>8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18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074559" w:rsidP="00AE3B50">
            <w:r>
              <w:rPr>
                <w:bCs/>
              </w:rPr>
              <w:t>2</w:t>
            </w:r>
            <w:r w:rsidR="00AE3B50">
              <w:rPr>
                <w:bCs/>
              </w:rPr>
              <w:t>0</w:t>
            </w:r>
            <w:r w:rsidR="00004855" w:rsidRPr="00004855">
              <w:rPr>
                <w:bCs/>
              </w:rPr>
              <w:t xml:space="preserve"> </w:t>
            </w:r>
            <w:r>
              <w:rPr>
                <w:bCs/>
              </w:rPr>
              <w:t>апреля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</w:t>
            </w:r>
            <w:r w:rsidR="00671A2B" w:rsidRPr="00F62696">
              <w:lastRenderedPageBreak/>
              <w:t xml:space="preserve">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AE3B50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AE3B5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AE3B50">
              <w:rPr>
                <w:bCs/>
              </w:rPr>
              <w:t>28 апреля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AE3B50" w:rsidP="00AB438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>
              <w:rPr>
                <w:bCs/>
              </w:rPr>
              <w:t>03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AE3B50" w:rsidP="00AB4385">
            <w:r>
              <w:rPr>
                <w:bCs/>
              </w:rPr>
              <w:t>03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AB4385">
              <w:t>11</w:t>
            </w:r>
            <w:r w:rsidR="007334F6" w:rsidRPr="00CD4ADB">
              <w:t>.</w:t>
            </w:r>
            <w:r w:rsidR="00AB4385">
              <w:t>50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A2249B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«Аукционный Конкурсный Дом»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A2249B" w:rsidRPr="0044116E">
                <w:rPr>
                  <w:rStyle w:val="ad"/>
                </w:rPr>
                <w:t>www.a-k-d.ru</w:t>
              </w:r>
            </w:hyperlink>
            <w:r w:rsidR="00A2249B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BF0609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BF0609">
              <w:t>5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BF0609" w:rsidRPr="00BF0609">
                <w:rPr>
                  <w:rStyle w:val="ad"/>
                </w:rPr>
                <w:t>www.a-k-d.ru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AE3B50">
            <w:r w:rsidRPr="00226223">
              <w:t xml:space="preserve">По адресу </w:t>
            </w:r>
            <w:bookmarkStart w:id="2" w:name="_GoBack"/>
            <w:bookmarkEnd w:id="2"/>
            <w:r w:rsidRPr="00226223">
              <w:t xml:space="preserve">Организатора – в рабочие дни </w:t>
            </w:r>
            <w:r w:rsidR="00264994">
              <w:br/>
              <w:t xml:space="preserve">с </w:t>
            </w:r>
            <w:r w:rsidR="00AE3B50">
              <w:rPr>
                <w:bCs/>
              </w:rPr>
              <w:t>21 марта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до </w:t>
            </w:r>
            <w:r w:rsidR="00AE3B50">
              <w:rPr>
                <w:bCs/>
              </w:rPr>
              <w:t>20 апреля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</w:t>
            </w:r>
            <w:r w:rsidR="00AE3B50">
              <w:br/>
            </w:r>
            <w:r w:rsidRPr="00226223">
              <w:t>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074559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AE3B50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671A2B" w:rsidRPr="00F62696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lastRenderedPageBreak/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 xml:space="preserve">а электронной торговой площадке «Аукционный Конкурсный Дом»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«Процедура реализации»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извещение о проведении настоящего аукциона, связанных исключительно с 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</w:t>
      </w:r>
      <w:r w:rsidRPr="00F62696">
        <w:lastRenderedPageBreak/>
        <w:t>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в деле о банкротстве, об отсутствии решения о приостановлении деятельности 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lastRenderedPageBreak/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lastRenderedPageBreak/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</w:t>
      </w:r>
      <w:r w:rsidR="004828A4">
        <w:lastRenderedPageBreak/>
        <w:t xml:space="preserve">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AE3B50">
        <w:t>5.8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P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F62696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подписания Комиссией протокола рассмотрения заявок;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 xml:space="preserve">. 2 или 3 п. 3.2.4 настоящей Документации) </w:t>
      </w:r>
      <w:r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 xml:space="preserve">окументации, Комиссия рассматривает поступившие заявки на участие в </w:t>
      </w:r>
      <w:r w:rsidRPr="00F62696">
        <w:lastRenderedPageBreak/>
        <w:t>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AE3B50" w:rsidRPr="00AE3B50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7031A">
        <w:rPr>
          <w:rFonts w:ascii="Times New Roman" w:hAnsi="Times New Roman"/>
          <w:bCs/>
          <w:sz w:val="28"/>
          <w:szCs w:val="28"/>
        </w:rPr>
        <w:t xml:space="preserve">/настоящей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lastRenderedPageBreak/>
        <w:t xml:space="preserve">В ходе рассмотрения заявок на участие в аукционе </w:t>
      </w:r>
      <w:r w:rsidR="00CA7D3F">
        <w:t>К</w:t>
      </w:r>
      <w:r w:rsidRPr="00F62696"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EE229B" w:rsidRDefault="00EE229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EE229B" w:rsidRDefault="00EE229B" w:rsidP="00EE229B">
      <w:pPr>
        <w:tabs>
          <w:tab w:val="left" w:pos="1418"/>
        </w:tabs>
        <w:ind w:firstLine="566"/>
      </w:pPr>
      <w:r>
        <w:t>Предложения о цене Имущества заявляются участниками аукциона после объявления цены первоначального предложения или цены предложения, сложившейся на соответствующем «шаге понижения»</w:t>
      </w:r>
      <w:r w:rsidR="006502B3">
        <w:t>. 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6502B3" w:rsidRDefault="006502B3" w:rsidP="00EE229B">
      <w:pPr>
        <w:tabs>
          <w:tab w:val="left" w:pos="1418"/>
        </w:tabs>
        <w:ind w:firstLine="566"/>
      </w:pPr>
      <w:r>
        <w:lastRenderedPageBreak/>
        <w:t>Право приобретения Имущества принадлежит участнику аукциона,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аукциона.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В случае, если несколько участников аукциона подтверждают цену первоначального предложения или цену предложения, сложившуюся на одном из «шагов понижения», со всеми участниками аукциона проводится аукцион на повышение, предусматривающий открытую форму подачи предложений о цене </w:t>
      </w:r>
      <w:r w:rsidR="00D927CC">
        <w:t>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D927CC" w:rsidRPr="00F62696" w:rsidRDefault="00D927CC" w:rsidP="00EE229B">
      <w:pPr>
        <w:tabs>
          <w:tab w:val="left" w:pos="1418"/>
        </w:tabs>
        <w:ind w:firstLine="566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671A2B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8B2D48">
        <w:rPr>
          <w:rFonts w:ascii="Times New Roman" w:hAnsi="Times New Roman"/>
          <w:bCs/>
          <w:sz w:val="28"/>
          <w:szCs w:val="28"/>
        </w:rPr>
        <w:t>;</w:t>
      </w:r>
    </w:p>
    <w:p w:rsidR="008B2D48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аукциона;</w:t>
      </w:r>
    </w:p>
    <w:p w:rsidR="008B2D48" w:rsidRPr="00F62696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аукциона.</w:t>
      </w:r>
    </w:p>
    <w:p w:rsidR="008B2D48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8B2D48">
        <w:t>:</w:t>
      </w:r>
    </w:p>
    <w:p w:rsidR="00671A2B" w:rsidRDefault="00671A2B" w:rsidP="008B2D48">
      <w:pPr>
        <w:tabs>
          <w:tab w:val="left" w:pos="1418"/>
        </w:tabs>
        <w:ind w:firstLine="566"/>
      </w:pPr>
      <w:r w:rsidRPr="00F62696">
        <w:t>предложивший по итогам аукциона наибольшую цену</w:t>
      </w:r>
      <w:bookmarkEnd w:id="122"/>
      <w:r w:rsidR="008B2D48">
        <w:t xml:space="preserve"> (при наличии нескольких участников аукциона, подтвердивших начальную цену или цену предложения, сложившуюся на соответствующем «шаге понижения»);</w:t>
      </w:r>
    </w:p>
    <w:p w:rsidR="008B2D48" w:rsidRDefault="008B2D48" w:rsidP="008B2D48">
      <w:pPr>
        <w:tabs>
          <w:tab w:val="left" w:pos="1418"/>
        </w:tabs>
        <w:ind w:firstLine="566"/>
      </w:pPr>
      <w:r>
        <w:t>первый заявивший начальную цену (при наличии только одного участника аукциона, подтвердившего начальную цену);</w:t>
      </w:r>
    </w:p>
    <w:p w:rsidR="008B2D48" w:rsidRPr="00F62696" w:rsidRDefault="005922D4" w:rsidP="008B2D48">
      <w:pPr>
        <w:tabs>
          <w:tab w:val="left" w:pos="1418"/>
        </w:tabs>
        <w:ind w:firstLine="566"/>
      </w:pPr>
      <w:r>
        <w:t>подтвердивший наибольшую цену, сложившуюся на соответствующем «шаге понижения».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Цена договора, предложенная победителем аукциона, заносится в протокол об итогах аукциона, который составляется в </w:t>
      </w:r>
      <w:r w:rsidR="00CB0AB2">
        <w:t>трех</w:t>
      </w:r>
      <w:r w:rsidR="00DB79A9">
        <w:t xml:space="preserve"> </w:t>
      </w:r>
      <w:r w:rsidRPr="00F62696">
        <w:t>экземплярах, один из которых передается победителю аукциона.</w:t>
      </w:r>
      <w:r w:rsidR="009E7BFA">
        <w:t xml:space="preserve">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lastRenderedPageBreak/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>при наличии – цену договора, предложенную участником, чье предложение по цене предшествовало предложению победителя</w:t>
      </w:r>
      <w:r w:rsidR="003525C0">
        <w:rPr>
          <w:rFonts w:ascii="Times New Roman" w:hAnsi="Times New Roman"/>
          <w:sz w:val="28"/>
          <w:szCs w:val="28"/>
        </w:rPr>
        <w:t xml:space="preserve"> (было следующим в сторону уменьшения)</w:t>
      </w:r>
      <w:r w:rsidRPr="007B3AEB">
        <w:rPr>
          <w:rFonts w:ascii="Times New Roman" w:hAnsi="Times New Roman"/>
          <w:sz w:val="28"/>
          <w:szCs w:val="28"/>
        </w:rPr>
        <w:t>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 w:rsidRPr="00F62696">
        <w:t>4.</w:t>
      </w:r>
      <w:r w:rsidR="009148ED">
        <w:t xml:space="preserve"> </w:t>
      </w:r>
      <w:r w:rsidRPr="00F62696">
        <w:t xml:space="preserve">Форма договора), указанных в заявке участника </w:t>
      </w:r>
      <w:r w:rsidRPr="00F62696">
        <w:lastRenderedPageBreak/>
        <w:t>аукциона, с которым заключается договор по цене, заявленной этим участником и являющейся последней (наибольшей).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lastRenderedPageBreak/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AE3B50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AE3B50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</w:t>
      </w:r>
      <w:r w:rsidR="009148ED">
        <w:t xml:space="preserve"> 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3.2.4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EB0663">
        <w:t>отсечения</w:t>
      </w:r>
      <w:r w:rsidRPr="00F62696">
        <w:t xml:space="preserve"> (минимальной цен</w:t>
      </w:r>
      <w:r w:rsidR="00EB0663">
        <w:t>е)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lastRenderedPageBreak/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>звещения о проведении аукциона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 xml:space="preserve">право заключения договора </w:t>
      </w:r>
      <w:r w:rsidR="006C50D6">
        <w:br/>
      </w:r>
      <w:r w:rsidRPr="00F62696">
        <w:t>купли-продажи</w:t>
      </w:r>
      <w:r w:rsidR="00094BC5">
        <w:t xml:space="preserve"> </w:t>
      </w:r>
      <w:r w:rsidR="006667A1">
        <w:t xml:space="preserve">объекта недвижимого имущества – </w:t>
      </w:r>
      <w:r w:rsidR="006C50D6">
        <w:br/>
      </w:r>
      <w:r w:rsidR="00660A57" w:rsidRPr="00660A57">
        <w:t xml:space="preserve">Открытой автостоянки гаража-600, расположенной по адресу: </w:t>
      </w:r>
      <w:r w:rsidR="006C50D6">
        <w:br/>
      </w:r>
      <w:r w:rsidR="00660A57" w:rsidRPr="00660A57">
        <w:t xml:space="preserve">Калужская область, г. Обнинск, Киевское шоссе, 23, </w:t>
      </w:r>
      <w:proofErr w:type="spellStart"/>
      <w:r w:rsidR="00660A57" w:rsidRPr="00660A57">
        <w:t>соор</w:t>
      </w:r>
      <w:proofErr w:type="spellEnd"/>
      <w:r w:rsidR="00660A57" w:rsidRPr="00660A57">
        <w:t>. 7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C34CBF">
        <w:t>й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9C22FF">
        <w:t>8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6667A1" w:rsidRPr="006667A1">
        <w:t xml:space="preserve">объекта недвижимого имущества – </w:t>
      </w:r>
      <w:r w:rsidR="006C50D6" w:rsidRPr="006C50D6">
        <w:t xml:space="preserve">Открытой автостоянки гаража-600, расположенной по адресу: Калужская область, г. Обнинск, Киевское шоссе, 23, </w:t>
      </w:r>
      <w:proofErr w:type="spellStart"/>
      <w:r w:rsidR="006C50D6" w:rsidRPr="006C50D6">
        <w:t>соор</w:t>
      </w:r>
      <w:proofErr w:type="spellEnd"/>
      <w:r w:rsidR="006C50D6" w:rsidRPr="006C50D6">
        <w:t>. 7</w:t>
      </w:r>
      <w:r w:rsidR="000567E6" w:rsidRPr="000567E6">
        <w:t>,</w:t>
      </w:r>
      <w:r w:rsidR="00671A2B" w:rsidRPr="00F62696">
        <w:t xml:space="preserve"> принадлежаще</w:t>
      </w:r>
      <w:r w:rsidR="00C34CBF">
        <w:t>й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</w:t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по цене </w:t>
      </w:r>
      <w:r w:rsidR="00474D6A">
        <w:rPr>
          <w:rFonts w:ascii="Times New Roman" w:hAnsi="Times New Roman"/>
          <w:sz w:val="28"/>
          <w:szCs w:val="28"/>
        </w:rPr>
        <w:t>отсечения (минимальной цене)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>письменное заверение Претендента о соблюдении установленных требований законодательства о защите конкуренции (в т.ч.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lastRenderedPageBreak/>
        <w:t>Со сведениями, изложенными в извещении о проведении аукциона и аукционной документации, проектом договора</w:t>
      </w:r>
      <w:r w:rsidR="00CC642E">
        <w:t>, правилами электронной торговой 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</w:t>
      </w:r>
      <w:r w:rsidR="00660A57">
        <w:br/>
      </w:r>
      <w:r w:rsidRPr="00F62696">
        <w:t xml:space="preserve">купли-продажи </w:t>
      </w:r>
      <w:r w:rsidR="006667A1" w:rsidRPr="00094BC5">
        <w:t xml:space="preserve">объекта недвижимого имущества – </w:t>
      </w:r>
      <w:r w:rsidR="00660A57">
        <w:br/>
      </w:r>
      <w:r w:rsidR="00660A57" w:rsidRPr="00660A57">
        <w:t xml:space="preserve">Открытой автостоянки гаража-600, расположенной по адресу: </w:t>
      </w:r>
      <w:r w:rsidR="00660A57">
        <w:br/>
      </w:r>
      <w:r w:rsidR="00660A57" w:rsidRPr="00660A57">
        <w:t xml:space="preserve">Калужская область, г. Обнинск, Киевское шоссе, 23, </w:t>
      </w:r>
      <w:proofErr w:type="spellStart"/>
      <w:r w:rsidR="00660A57" w:rsidRPr="00660A57">
        <w:t>соор</w:t>
      </w:r>
      <w:proofErr w:type="spellEnd"/>
      <w:r w:rsidR="00660A57" w:rsidRPr="00660A57">
        <w:t>. 7</w:t>
      </w:r>
      <w:r w:rsidR="001D613A" w:rsidRPr="001D613A">
        <w:t xml:space="preserve">, </w:t>
      </w:r>
      <w:r w:rsidR="001D613A" w:rsidRPr="001D613A">
        <w:br/>
        <w:t>принадлежащей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>(Подпись уполномоченного представителя)</w:t>
      </w:r>
      <w:r w:rsidR="006C3FF2">
        <w:rPr>
          <w:i/>
          <w:snapToGrid w:val="0"/>
          <w:sz w:val="14"/>
          <w:szCs w:val="14"/>
        </w:rPr>
        <w:tab/>
      </w:r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987B0B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201_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A8418B" w:rsidRPr="00A8418B">
        <w:rPr>
          <w:rFonts w:eastAsia="Times New Roman"/>
          <w:bCs/>
          <w:sz w:val="24"/>
          <w:szCs w:val="24"/>
          <w:lang w:eastAsia="en-US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C33F26">
        <w:rPr>
          <w:rFonts w:eastAsia="Times New Roman"/>
          <w:bCs/>
          <w:sz w:val="24"/>
          <w:szCs w:val="24"/>
          <w:lang w:eastAsia="en-US"/>
        </w:rPr>
        <w:t>, с одной стороны, и ___________________, именуемое в дальнейшем «Покупатель», в лице ______________</w:t>
      </w:r>
      <w:r w:rsidR="00C33F26">
        <w:rPr>
          <w:rFonts w:eastAsia="Times New Roman"/>
          <w:bCs/>
          <w:sz w:val="24"/>
          <w:szCs w:val="24"/>
          <w:lang w:eastAsia="en-US"/>
        </w:rPr>
        <w:t>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987B0B" w:rsidRPr="00C33F26">
        <w:rPr>
          <w:rFonts w:eastAsia="Times New Roman"/>
          <w:bCs/>
          <w:sz w:val="24"/>
          <w:szCs w:val="24"/>
          <w:lang w:eastAsia="en-US"/>
        </w:rPr>
        <w:t>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1D613A" w:rsidRPr="00C33F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 xml:space="preserve">, а Покупатель обязуется принять и оплатить </w:t>
      </w:r>
      <w:r w:rsidR="00660A57" w:rsidRPr="00660A57">
        <w:rPr>
          <w:color w:val="000000"/>
          <w:sz w:val="24"/>
          <w:szCs w:val="24"/>
          <w:shd w:val="clear" w:color="auto" w:fill="FFFFFF"/>
        </w:rPr>
        <w:t>объект недвижимого имущества – Открыт</w:t>
      </w:r>
      <w:r w:rsidR="004E25BF">
        <w:rPr>
          <w:color w:val="000000"/>
          <w:sz w:val="24"/>
          <w:szCs w:val="24"/>
          <w:shd w:val="clear" w:color="auto" w:fill="FFFFFF"/>
        </w:rPr>
        <w:t>ую</w:t>
      </w:r>
      <w:r w:rsidR="00660A57" w:rsidRPr="00660A57">
        <w:rPr>
          <w:color w:val="000000"/>
          <w:sz w:val="24"/>
          <w:szCs w:val="24"/>
          <w:shd w:val="clear" w:color="auto" w:fill="FFFFFF"/>
        </w:rPr>
        <w:t xml:space="preserve"> автостоянк</w:t>
      </w:r>
      <w:r w:rsidR="004E25BF">
        <w:rPr>
          <w:color w:val="000000"/>
          <w:sz w:val="24"/>
          <w:szCs w:val="24"/>
          <w:shd w:val="clear" w:color="auto" w:fill="FFFFFF"/>
        </w:rPr>
        <w:t>у</w:t>
      </w:r>
      <w:r w:rsidR="00660A57" w:rsidRPr="00660A57">
        <w:rPr>
          <w:color w:val="000000"/>
          <w:sz w:val="24"/>
          <w:szCs w:val="24"/>
          <w:shd w:val="clear" w:color="auto" w:fill="FFFFFF"/>
        </w:rPr>
        <w:t xml:space="preserve"> гаража-600, общей площадью 12217,5 кв. м, назначение: нежилое, кадастровый номер 40:27:040202:420, расположенн</w:t>
      </w:r>
      <w:r w:rsidR="004E25BF">
        <w:rPr>
          <w:color w:val="000000"/>
          <w:sz w:val="24"/>
          <w:szCs w:val="24"/>
          <w:shd w:val="clear" w:color="auto" w:fill="FFFFFF"/>
        </w:rPr>
        <w:t>ую</w:t>
      </w:r>
      <w:r w:rsidR="00660A57" w:rsidRPr="00660A57">
        <w:rPr>
          <w:color w:val="000000"/>
          <w:sz w:val="24"/>
          <w:szCs w:val="24"/>
          <w:shd w:val="clear" w:color="auto" w:fill="FFFFFF"/>
        </w:rPr>
        <w:t xml:space="preserve"> по адресу: Калужская область, </w:t>
      </w:r>
      <w:r w:rsidR="00660A57">
        <w:rPr>
          <w:color w:val="000000"/>
          <w:sz w:val="24"/>
          <w:szCs w:val="24"/>
          <w:shd w:val="clear" w:color="auto" w:fill="FFFFFF"/>
        </w:rPr>
        <w:br/>
      </w:r>
      <w:r w:rsidR="00660A57" w:rsidRPr="00660A57">
        <w:rPr>
          <w:color w:val="000000"/>
          <w:sz w:val="24"/>
          <w:szCs w:val="24"/>
          <w:shd w:val="clear" w:color="auto" w:fill="FFFFFF"/>
        </w:rPr>
        <w:t xml:space="preserve">г. Обнинск, Киевское шоссе, 23, </w:t>
      </w:r>
      <w:proofErr w:type="spellStart"/>
      <w:r w:rsidR="00660A57" w:rsidRPr="00660A57">
        <w:rPr>
          <w:color w:val="000000"/>
          <w:sz w:val="24"/>
          <w:szCs w:val="24"/>
          <w:shd w:val="clear" w:color="auto" w:fill="FFFFFF"/>
        </w:rPr>
        <w:t>соор</w:t>
      </w:r>
      <w:proofErr w:type="spellEnd"/>
      <w:r w:rsidR="00660A57" w:rsidRPr="00660A57">
        <w:rPr>
          <w:color w:val="000000"/>
          <w:sz w:val="24"/>
          <w:szCs w:val="24"/>
          <w:shd w:val="clear" w:color="auto" w:fill="FFFFFF"/>
        </w:rPr>
        <w:t>. 7</w:t>
      </w:r>
      <w:r w:rsidRPr="00C33F26">
        <w:rPr>
          <w:rStyle w:val="2a"/>
          <w:color w:val="000000"/>
          <w:sz w:val="24"/>
          <w:szCs w:val="24"/>
        </w:rPr>
        <w:t xml:space="preserve">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660A57" w:rsidRDefault="00660A57" w:rsidP="00660A57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660A57">
        <w:rPr>
          <w:color w:val="000000"/>
          <w:sz w:val="24"/>
          <w:szCs w:val="24"/>
          <w:shd w:val="clear" w:color="auto" w:fill="FFFFFF"/>
        </w:rPr>
        <w:t xml:space="preserve">Имущество расположено на земельном участке по адресу: Калужская область, </w:t>
      </w:r>
      <w:r>
        <w:rPr>
          <w:color w:val="000000"/>
          <w:sz w:val="24"/>
          <w:szCs w:val="24"/>
          <w:shd w:val="clear" w:color="auto" w:fill="FFFFFF"/>
        </w:rPr>
        <w:br/>
      </w:r>
      <w:r w:rsidRPr="00660A57">
        <w:rPr>
          <w:color w:val="000000"/>
          <w:sz w:val="24"/>
          <w:szCs w:val="24"/>
          <w:shd w:val="clear" w:color="auto" w:fill="FFFFFF"/>
        </w:rPr>
        <w:t>г. Обнинск, Киевское шоссе, 23, площадью 81027 кв. м, кадастровый номер 40:27:040202:1, категория земель – земли населенных пунктов, разрешенное использование – под существующим гаражом на 600 мест, находящемся в федеральной собственности и предоставленном Продавцу в аренду по договору от 29.07.2014 № 27/2014-44.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1D613A" w:rsidRDefault="00707CC4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D03917" w:rsidRPr="00B34057" w:rsidRDefault="00D03917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установленном </w:t>
      </w:r>
      <w:r w:rsidR="00FE7E21">
        <w:rPr>
          <w:sz w:val="24"/>
          <w:szCs w:val="24"/>
          <w:shd w:val="clear" w:color="auto" w:fill="FFFFFF"/>
        </w:rPr>
        <w:t>порядке совершить действия, необходимые для заключения Покупателем после перехода к нему права собственности на Имущество договоров энергоснабжения, водоснабжения, в частности, по запросу соответствующих организаций, осуществляющих снабжение указанными ресурсами, Продавец обязан предоставить имеющиеся у него документы, необходимые для заключения Покупателем указанных договоров.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lastRenderedPageBreak/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кту приема-передачи, указанному в п. </w:t>
      </w:r>
      <w:r w:rsidRPr="00C54359">
        <w:rPr>
          <w:sz w:val="24"/>
          <w:szCs w:val="24"/>
        </w:rPr>
        <w:t xml:space="preserve">4.1 </w:t>
      </w:r>
      <w:r w:rsidR="00B34057">
        <w:rPr>
          <w:sz w:val="24"/>
          <w:szCs w:val="24"/>
        </w:rPr>
        <w:t xml:space="preserve">настоящего </w:t>
      </w:r>
      <w:r w:rsidRPr="00C54359">
        <w:rPr>
          <w:bCs/>
          <w:sz w:val="24"/>
          <w:szCs w:val="24"/>
        </w:rPr>
        <w:t>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966769">
        <w:rPr>
          <w:rStyle w:val="2a"/>
          <w:color w:val="000000"/>
          <w:sz w:val="24"/>
          <w:szCs w:val="24"/>
        </w:rPr>
        <w:t xml:space="preserve">Цена Имущества по </w:t>
      </w:r>
      <w:r>
        <w:rPr>
          <w:rStyle w:val="2a"/>
          <w:color w:val="000000"/>
          <w:sz w:val="24"/>
          <w:szCs w:val="24"/>
        </w:rPr>
        <w:t xml:space="preserve">настоящему </w:t>
      </w:r>
      <w:r w:rsidRPr="00966769">
        <w:rPr>
          <w:rStyle w:val="2a"/>
          <w:color w:val="000000"/>
          <w:sz w:val="24"/>
          <w:szCs w:val="24"/>
        </w:rPr>
        <w:t>Договору составляет ____</w:t>
      </w:r>
      <w:r>
        <w:rPr>
          <w:rStyle w:val="2a"/>
          <w:color w:val="000000"/>
          <w:sz w:val="24"/>
          <w:szCs w:val="24"/>
        </w:rPr>
        <w:t>______________</w:t>
      </w:r>
      <w:r w:rsidRPr="00966769">
        <w:rPr>
          <w:rStyle w:val="2a"/>
          <w:color w:val="000000"/>
          <w:sz w:val="24"/>
          <w:szCs w:val="24"/>
        </w:rPr>
        <w:t xml:space="preserve"> (</w:t>
      </w:r>
      <w:r w:rsidRPr="00966769">
        <w:rPr>
          <w:color w:val="000000"/>
          <w:sz w:val="24"/>
          <w:szCs w:val="24"/>
          <w:shd w:val="clear" w:color="auto" w:fill="FFFFFF"/>
        </w:rPr>
        <w:t>__________________</w:t>
      </w:r>
      <w:r w:rsidRPr="00966769">
        <w:rPr>
          <w:rStyle w:val="2a"/>
          <w:color w:val="000000"/>
          <w:sz w:val="24"/>
          <w:szCs w:val="24"/>
        </w:rPr>
        <w:t>) рублей</w:t>
      </w:r>
      <w:r>
        <w:rPr>
          <w:rStyle w:val="2a"/>
          <w:color w:val="000000"/>
          <w:sz w:val="24"/>
          <w:szCs w:val="24"/>
        </w:rPr>
        <w:t xml:space="preserve"> ___</w:t>
      </w:r>
      <w:r w:rsidRPr="00966769">
        <w:rPr>
          <w:rStyle w:val="2a"/>
          <w:color w:val="000000"/>
          <w:sz w:val="24"/>
          <w:szCs w:val="24"/>
        </w:rPr>
        <w:t xml:space="preserve"> копеек</w:t>
      </w:r>
      <w:r>
        <w:rPr>
          <w:rStyle w:val="2a"/>
          <w:color w:val="000000"/>
          <w:sz w:val="24"/>
          <w:szCs w:val="24"/>
        </w:rPr>
        <w:t>,</w:t>
      </w:r>
      <w:r w:rsidRPr="00966769">
        <w:rPr>
          <w:rStyle w:val="2a"/>
          <w:color w:val="000000"/>
          <w:sz w:val="24"/>
          <w:szCs w:val="24"/>
        </w:rPr>
        <w:t xml:space="preserve"> НДС не облагается</w:t>
      </w:r>
      <w:r>
        <w:rPr>
          <w:rStyle w:val="2a"/>
          <w:color w:val="000000"/>
          <w:sz w:val="24"/>
          <w:szCs w:val="24"/>
        </w:rPr>
        <w:t xml:space="preserve"> </w:t>
      </w:r>
      <w:r w:rsidRPr="00E25804">
        <w:rPr>
          <w:color w:val="000000"/>
          <w:sz w:val="24"/>
          <w:szCs w:val="24"/>
          <w:shd w:val="clear" w:color="auto" w:fill="FFFFFF"/>
        </w:rPr>
        <w:t>(далее – «</w:t>
      </w:r>
      <w:r>
        <w:rPr>
          <w:color w:val="000000"/>
          <w:sz w:val="24"/>
          <w:szCs w:val="24"/>
          <w:shd w:val="clear" w:color="auto" w:fill="FFFFFF"/>
        </w:rPr>
        <w:t xml:space="preserve">Цена </w:t>
      </w:r>
      <w:r w:rsidRPr="00E25804">
        <w:rPr>
          <w:color w:val="000000"/>
          <w:sz w:val="24"/>
          <w:szCs w:val="24"/>
          <w:shd w:val="clear" w:color="auto" w:fill="FFFFFF"/>
        </w:rPr>
        <w:t>Имуществ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25804">
        <w:rPr>
          <w:color w:val="000000"/>
          <w:sz w:val="24"/>
          <w:szCs w:val="24"/>
          <w:shd w:val="clear" w:color="auto" w:fill="FFFFFF"/>
        </w:rPr>
        <w:t>»)</w:t>
      </w:r>
      <w:r w:rsidRPr="00966769">
        <w:rPr>
          <w:rStyle w:val="2a"/>
          <w:color w:val="000000"/>
          <w:sz w:val="24"/>
          <w:szCs w:val="24"/>
        </w:rPr>
        <w:t>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C33F26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rStyle w:val="2a"/>
          <w:sz w:val="24"/>
          <w:szCs w:val="24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оплачиваются Покупателем в течение </w:t>
      </w:r>
      <w:r w:rsidR="000170B2">
        <w:rPr>
          <w:sz w:val="24"/>
          <w:szCs w:val="24"/>
        </w:rPr>
        <w:t>5</w:t>
      </w:r>
      <w:r w:rsidRPr="00C33F26">
        <w:rPr>
          <w:sz w:val="24"/>
          <w:szCs w:val="24"/>
        </w:rPr>
        <w:t xml:space="preserve"> (</w:t>
      </w:r>
      <w:r w:rsidR="000170B2">
        <w:rPr>
          <w:sz w:val="24"/>
          <w:szCs w:val="24"/>
        </w:rPr>
        <w:t>п</w:t>
      </w:r>
      <w:r w:rsidRPr="00C33F26">
        <w:rPr>
          <w:sz w:val="24"/>
          <w:szCs w:val="24"/>
        </w:rPr>
        <w:t>яти) рабочих дней с даты заключения настоящего Договора.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lastRenderedPageBreak/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6ECB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F13DD1">
        <w:rPr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</w:t>
      </w:r>
      <w:r>
        <w:rPr>
          <w:sz w:val="24"/>
          <w:szCs w:val="24"/>
          <w:shd w:val="clear" w:color="auto" w:fill="FFFFFF"/>
        </w:rPr>
        <w:t xml:space="preserve"> подписания</w:t>
      </w:r>
      <w:r w:rsidRPr="00F13DD1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3DD1">
        <w:rPr>
          <w:sz w:val="24"/>
          <w:szCs w:val="24"/>
          <w:shd w:val="clear" w:color="auto" w:fill="FFFFFF"/>
        </w:rPr>
        <w:t>Сторонами Акта приема-передачи</w:t>
      </w:r>
      <w:r>
        <w:rPr>
          <w:sz w:val="24"/>
          <w:szCs w:val="24"/>
          <w:shd w:val="clear" w:color="auto" w:fill="FFFFFF"/>
        </w:rPr>
        <w:t xml:space="preserve">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lastRenderedPageBreak/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C05334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Пункт 7.6 настоящего Договора указывается исходя из нижеизложенных вариантов по результатам проведения </w:t>
      </w:r>
      <w:r>
        <w:rPr>
          <w:rFonts w:eastAsia="Calibri" w:cs="Times New Roman"/>
          <w:bCs/>
          <w:i/>
          <w:sz w:val="24"/>
          <w:szCs w:val="24"/>
          <w:lang w:eastAsia="ru-RU"/>
        </w:rPr>
        <w:t>аукциона</w:t>
      </w: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 и излагается в соответствующей редакции, а именно:</w:t>
      </w:r>
    </w:p>
    <w:p w:rsidR="001D613A" w:rsidRDefault="00C05334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t>Вариант 1. В случае если, лицо с которым заключается настоящий Договор является организацией атомной отрасли (является подведомственной организацией Госкорпорации «Росатом»):</w:t>
      </w:r>
    </w:p>
    <w:p w:rsidR="000F1CBE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 xml:space="preserve"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</w:t>
      </w:r>
      <w:r w:rsidRPr="00C05334">
        <w:rPr>
          <w:sz w:val="24"/>
          <w:szCs w:val="24"/>
          <w:shd w:val="clear" w:color="auto" w:fill="FFFFFF"/>
        </w:rPr>
        <w:lastRenderedPageBreak/>
        <w:t>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334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подлежит.».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 2. В случае если лицо, с которым заключается настоящий Договор, не является организацией атомной отрасли: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C05334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Подпункт 2 пункта 7.6 настоящего Договора указывается исходя из нижеизложенных вариантов по результатам проведения 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>аукциона</w:t>
      </w: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 и излагается в соответствующей редакции, а именно: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lastRenderedPageBreak/>
        <w:t>«…в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окончательным;».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не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окончательным;».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C05334" w:rsidRDefault="00A764FB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оспариванию.».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lastRenderedPageBreak/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660A57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660A57" w:rsidRPr="003D69EE" w:rsidRDefault="00660A57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660A57">
        <w:rPr>
          <w:sz w:val="24"/>
          <w:szCs w:val="24"/>
          <w:shd w:val="clear" w:color="auto" w:fill="FFFFFF"/>
        </w:rPr>
        <w:t xml:space="preserve">Стороны договорились в течение </w:t>
      </w:r>
      <w:r>
        <w:rPr>
          <w:sz w:val="24"/>
          <w:szCs w:val="24"/>
          <w:shd w:val="clear" w:color="auto" w:fill="FFFFFF"/>
        </w:rPr>
        <w:t>2</w:t>
      </w:r>
      <w:r w:rsidRPr="00660A57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двух</w:t>
      </w:r>
      <w:r w:rsidRPr="00660A57">
        <w:rPr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  <w:shd w:val="clear" w:color="auto" w:fill="FFFFFF"/>
        </w:rPr>
        <w:t>месяцев</w:t>
      </w:r>
      <w:r w:rsidRPr="00660A57">
        <w:rPr>
          <w:sz w:val="24"/>
          <w:szCs w:val="24"/>
          <w:shd w:val="clear" w:color="auto" w:fill="FFFFFF"/>
        </w:rPr>
        <w:t xml:space="preserve"> с момента государственной регистрации перехода права собственности на недвижимое имущество к Покупателю заключить дополнительное соглашение к договору аренды находящихся в федеральной собственности </w:t>
      </w:r>
      <w:r w:rsidRPr="00660A57">
        <w:rPr>
          <w:sz w:val="24"/>
          <w:szCs w:val="24"/>
          <w:shd w:val="clear" w:color="auto" w:fill="FFFFFF"/>
        </w:rPr>
        <w:lastRenderedPageBreak/>
        <w:t>земельных участков от 29.07.2014 № 27/2014-44 и осуществить его государственную регистрацию.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B332FB">
        <w:rPr>
          <w:rFonts w:ascii="Times New Roman" w:eastAsia="Times New Roman" w:hAnsi="Times New Roman"/>
          <w:sz w:val="24"/>
          <w:szCs w:val="24"/>
          <w:lang w:eastAsia="en-US"/>
        </w:rPr>
        <w:t>_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p w:rsidR="001D613A" w:rsidRPr="00023B0F" w:rsidRDefault="001D613A" w:rsidP="00C53611">
      <w:pPr>
        <w:pStyle w:val="210"/>
        <w:shd w:val="clear" w:color="auto" w:fill="auto"/>
        <w:tabs>
          <w:tab w:val="left" w:pos="142"/>
        </w:tabs>
        <w:spacing w:before="0"/>
        <w:ind w:left="720"/>
        <w:rPr>
          <w:rStyle w:val="2a"/>
          <w:color w:val="000000"/>
          <w:sz w:val="24"/>
          <w:szCs w:val="24"/>
        </w:rPr>
      </w:pP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>
        <w:rPr>
          <w:rFonts w:eastAsia="Times New Roman"/>
          <w:bCs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8276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2B1802" w:rsidRPr="002B1802">
        <w:rPr>
          <w:rFonts w:eastAsia="Arial Unicode MS"/>
          <w:bCs/>
          <w:color w:val="000000"/>
          <w:sz w:val="24"/>
          <w:szCs w:val="24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0A57" w:rsidRPr="00660A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объект недвижимого имущества – Открыт</w:t>
      </w:r>
      <w:r w:rsidR="004E25B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ую</w:t>
      </w:r>
      <w:r w:rsidR="00660A57" w:rsidRPr="00660A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автостоянк</w:t>
      </w:r>
      <w:r w:rsidR="004E25B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у</w:t>
      </w:r>
      <w:r w:rsidR="00660A57" w:rsidRPr="00660A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гаража-600, общей площадью 12217,5 кв. м, назначение: нежилое, кадастровый номер 40:27:040202:420, расположенн</w:t>
      </w:r>
      <w:r w:rsidR="004E25BF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ую</w:t>
      </w:r>
      <w:r w:rsidR="00660A57" w:rsidRPr="00660A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по адресу: Калужская область, г. Обнинск, Киевское шоссе, 23, </w:t>
      </w:r>
      <w:proofErr w:type="spellStart"/>
      <w:r w:rsidR="00660A57" w:rsidRPr="00660A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соор</w:t>
      </w:r>
      <w:proofErr w:type="spellEnd"/>
      <w:r w:rsidR="00660A57" w:rsidRPr="00660A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. 7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(далее – «Имущество»).</w:t>
      </w:r>
    </w:p>
    <w:p w:rsidR="009E5076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Вместе с </w:t>
      </w:r>
      <w:r w:rsidR="00660A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Имуществом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Продавец передал, а Покупатель принял следующее движимое имущество: _____________________________________________________ </w:t>
      </w:r>
      <w:r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(при наличии).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(коммуникаций), движимого имущества </w:t>
      </w:r>
      <w:r w:rsidR="008276C3"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 xml:space="preserve">(при наличии)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 технического паспорта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35" w:rsidRDefault="00636E35">
      <w:r>
        <w:separator/>
      </w:r>
    </w:p>
  </w:endnote>
  <w:endnote w:type="continuationSeparator" w:id="0">
    <w:p w:rsidR="00636E35" w:rsidRDefault="0063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35" w:rsidRDefault="00636E35">
      <w:r>
        <w:separator/>
      </w:r>
    </w:p>
  </w:footnote>
  <w:footnote w:type="continuationSeparator" w:id="0">
    <w:p w:rsidR="00636E35" w:rsidRDefault="00636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59" w:rsidRDefault="00074559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E3B50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59" w:rsidRDefault="00074559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E4F"/>
    <w:rsid w:val="00037E5E"/>
    <w:rsid w:val="00045B0C"/>
    <w:rsid w:val="00045BA5"/>
    <w:rsid w:val="00050BCD"/>
    <w:rsid w:val="000567E6"/>
    <w:rsid w:val="00060E3C"/>
    <w:rsid w:val="00061B82"/>
    <w:rsid w:val="0006491C"/>
    <w:rsid w:val="00074559"/>
    <w:rsid w:val="0007599D"/>
    <w:rsid w:val="00077CA5"/>
    <w:rsid w:val="000810EA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D7088"/>
    <w:rsid w:val="000E6B6C"/>
    <w:rsid w:val="000E729B"/>
    <w:rsid w:val="000F1CBE"/>
    <w:rsid w:val="000F2E90"/>
    <w:rsid w:val="000F42AE"/>
    <w:rsid w:val="000F665E"/>
    <w:rsid w:val="001172D9"/>
    <w:rsid w:val="0012084B"/>
    <w:rsid w:val="00121310"/>
    <w:rsid w:val="001216E1"/>
    <w:rsid w:val="0012439A"/>
    <w:rsid w:val="001269AB"/>
    <w:rsid w:val="00134925"/>
    <w:rsid w:val="00134E07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6547"/>
    <w:rsid w:val="00197C13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200D9F"/>
    <w:rsid w:val="0020178A"/>
    <w:rsid w:val="00202E0A"/>
    <w:rsid w:val="0020456E"/>
    <w:rsid w:val="00211CCF"/>
    <w:rsid w:val="00216747"/>
    <w:rsid w:val="00226223"/>
    <w:rsid w:val="00231713"/>
    <w:rsid w:val="00246198"/>
    <w:rsid w:val="00253536"/>
    <w:rsid w:val="00253DD5"/>
    <w:rsid w:val="0026137B"/>
    <w:rsid w:val="00264994"/>
    <w:rsid w:val="00275044"/>
    <w:rsid w:val="00280CBC"/>
    <w:rsid w:val="00281229"/>
    <w:rsid w:val="00283787"/>
    <w:rsid w:val="00287001"/>
    <w:rsid w:val="00295574"/>
    <w:rsid w:val="002B1802"/>
    <w:rsid w:val="002B60DA"/>
    <w:rsid w:val="002B7247"/>
    <w:rsid w:val="002C7537"/>
    <w:rsid w:val="002D5E71"/>
    <w:rsid w:val="002E574D"/>
    <w:rsid w:val="002F3414"/>
    <w:rsid w:val="002F6B92"/>
    <w:rsid w:val="002F7AFA"/>
    <w:rsid w:val="003121E6"/>
    <w:rsid w:val="00323C09"/>
    <w:rsid w:val="00336BC7"/>
    <w:rsid w:val="00340E1D"/>
    <w:rsid w:val="00343931"/>
    <w:rsid w:val="00351170"/>
    <w:rsid w:val="003525C0"/>
    <w:rsid w:val="0035657F"/>
    <w:rsid w:val="003658E9"/>
    <w:rsid w:val="00366F89"/>
    <w:rsid w:val="00375BCC"/>
    <w:rsid w:val="00375C09"/>
    <w:rsid w:val="003766B2"/>
    <w:rsid w:val="00381331"/>
    <w:rsid w:val="00385466"/>
    <w:rsid w:val="00394ED7"/>
    <w:rsid w:val="003A549E"/>
    <w:rsid w:val="003B01E3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368F"/>
    <w:rsid w:val="00407351"/>
    <w:rsid w:val="00433B65"/>
    <w:rsid w:val="00434947"/>
    <w:rsid w:val="0043780D"/>
    <w:rsid w:val="00445674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3707"/>
    <w:rsid w:val="004968A2"/>
    <w:rsid w:val="004B289C"/>
    <w:rsid w:val="004B2C78"/>
    <w:rsid w:val="004C185D"/>
    <w:rsid w:val="004C2034"/>
    <w:rsid w:val="004C64D5"/>
    <w:rsid w:val="004C69B3"/>
    <w:rsid w:val="004E25BF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63DFB"/>
    <w:rsid w:val="005672C6"/>
    <w:rsid w:val="00573888"/>
    <w:rsid w:val="00574724"/>
    <w:rsid w:val="005838ED"/>
    <w:rsid w:val="0058496C"/>
    <w:rsid w:val="0059029C"/>
    <w:rsid w:val="005922D4"/>
    <w:rsid w:val="005A253D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4CF6"/>
    <w:rsid w:val="00634A2F"/>
    <w:rsid w:val="00636E35"/>
    <w:rsid w:val="00643DA2"/>
    <w:rsid w:val="006502B3"/>
    <w:rsid w:val="00660A57"/>
    <w:rsid w:val="0066467D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C50D6"/>
    <w:rsid w:val="006E09EB"/>
    <w:rsid w:val="006E4017"/>
    <w:rsid w:val="006E4073"/>
    <w:rsid w:val="006E7CE0"/>
    <w:rsid w:val="006F4D6D"/>
    <w:rsid w:val="00701EDB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3498"/>
    <w:rsid w:val="00767E64"/>
    <w:rsid w:val="00774263"/>
    <w:rsid w:val="00774997"/>
    <w:rsid w:val="007773B2"/>
    <w:rsid w:val="00795BC1"/>
    <w:rsid w:val="00797418"/>
    <w:rsid w:val="007A0326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B0B71"/>
    <w:rsid w:val="008B15F1"/>
    <w:rsid w:val="008B1A1F"/>
    <w:rsid w:val="008B2D48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148ED"/>
    <w:rsid w:val="00921600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A31F1"/>
    <w:rsid w:val="009B691F"/>
    <w:rsid w:val="009C22FF"/>
    <w:rsid w:val="009C4ACD"/>
    <w:rsid w:val="009C6722"/>
    <w:rsid w:val="009D359E"/>
    <w:rsid w:val="009E201C"/>
    <w:rsid w:val="009E5076"/>
    <w:rsid w:val="009E773F"/>
    <w:rsid w:val="009E7BFA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10FC"/>
    <w:rsid w:val="00A66C0E"/>
    <w:rsid w:val="00A67646"/>
    <w:rsid w:val="00A764FB"/>
    <w:rsid w:val="00A77BCB"/>
    <w:rsid w:val="00A77C2A"/>
    <w:rsid w:val="00A8418B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404D"/>
    <w:rsid w:val="00AD0D00"/>
    <w:rsid w:val="00AD214C"/>
    <w:rsid w:val="00AD3332"/>
    <w:rsid w:val="00AD5025"/>
    <w:rsid w:val="00AE3B50"/>
    <w:rsid w:val="00AE5B2D"/>
    <w:rsid w:val="00AE73F4"/>
    <w:rsid w:val="00AE74D7"/>
    <w:rsid w:val="00AF0898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E088C"/>
    <w:rsid w:val="00BE1BC1"/>
    <w:rsid w:val="00BE25A2"/>
    <w:rsid w:val="00BF0609"/>
    <w:rsid w:val="00BF0A8B"/>
    <w:rsid w:val="00BF2CCA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518"/>
    <w:rsid w:val="00C33BA2"/>
    <w:rsid w:val="00C33F26"/>
    <w:rsid w:val="00C34CBF"/>
    <w:rsid w:val="00C408BF"/>
    <w:rsid w:val="00C46FE0"/>
    <w:rsid w:val="00C471C5"/>
    <w:rsid w:val="00C512EE"/>
    <w:rsid w:val="00C51A06"/>
    <w:rsid w:val="00C53611"/>
    <w:rsid w:val="00C55F1E"/>
    <w:rsid w:val="00C565DB"/>
    <w:rsid w:val="00C61C17"/>
    <w:rsid w:val="00C6405A"/>
    <w:rsid w:val="00C67DFF"/>
    <w:rsid w:val="00C801DD"/>
    <w:rsid w:val="00C86C0F"/>
    <w:rsid w:val="00C90A0A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65AF"/>
    <w:rsid w:val="00D7635A"/>
    <w:rsid w:val="00D76B42"/>
    <w:rsid w:val="00D813F8"/>
    <w:rsid w:val="00D87733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C7CEB"/>
    <w:rsid w:val="00DD0BBE"/>
    <w:rsid w:val="00DD0D0A"/>
    <w:rsid w:val="00DE5CCB"/>
    <w:rsid w:val="00DE7363"/>
    <w:rsid w:val="00DF65CA"/>
    <w:rsid w:val="00DF737E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577EE"/>
    <w:rsid w:val="00E611F2"/>
    <w:rsid w:val="00E7087C"/>
    <w:rsid w:val="00E74E8F"/>
    <w:rsid w:val="00E85D3F"/>
    <w:rsid w:val="00E91514"/>
    <w:rsid w:val="00EB0663"/>
    <w:rsid w:val="00EB2523"/>
    <w:rsid w:val="00EB70F2"/>
    <w:rsid w:val="00EC4E91"/>
    <w:rsid w:val="00ED0576"/>
    <w:rsid w:val="00EE0A74"/>
    <w:rsid w:val="00EE19ED"/>
    <w:rsid w:val="00EE229B"/>
    <w:rsid w:val="00F068F9"/>
    <w:rsid w:val="00F1117A"/>
    <w:rsid w:val="00F13DD1"/>
    <w:rsid w:val="00F15C0F"/>
    <w:rsid w:val="00F33900"/>
    <w:rsid w:val="00F33B41"/>
    <w:rsid w:val="00F45051"/>
    <w:rsid w:val="00F57195"/>
    <w:rsid w:val="00F67B87"/>
    <w:rsid w:val="00F7031A"/>
    <w:rsid w:val="00F734AB"/>
    <w:rsid w:val="00F773AB"/>
    <w:rsid w:val="00F86647"/>
    <w:rsid w:val="00F9206A"/>
    <w:rsid w:val="00F9456D"/>
    <w:rsid w:val="00F954B1"/>
    <w:rsid w:val="00F95748"/>
    <w:rsid w:val="00F95D3D"/>
    <w:rsid w:val="00F96D71"/>
    <w:rsid w:val="00FB0889"/>
    <w:rsid w:val="00FB0DA1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761E"/>
    <w:rsid w:val="0015142E"/>
    <w:rsid w:val="00176AD4"/>
    <w:rsid w:val="00183D70"/>
    <w:rsid w:val="0020617C"/>
    <w:rsid w:val="00243E9E"/>
    <w:rsid w:val="0029631E"/>
    <w:rsid w:val="002B273D"/>
    <w:rsid w:val="002C58C5"/>
    <w:rsid w:val="002D0CAA"/>
    <w:rsid w:val="002D351F"/>
    <w:rsid w:val="0032322F"/>
    <w:rsid w:val="00385A1C"/>
    <w:rsid w:val="003C6A62"/>
    <w:rsid w:val="003D0EBC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522CE"/>
    <w:rsid w:val="005B578D"/>
    <w:rsid w:val="00637B21"/>
    <w:rsid w:val="006A2ED6"/>
    <w:rsid w:val="007A5231"/>
    <w:rsid w:val="007E4744"/>
    <w:rsid w:val="00836348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75320"/>
    <w:rsid w:val="00A87925"/>
    <w:rsid w:val="00AD2ED2"/>
    <w:rsid w:val="00B27A47"/>
    <w:rsid w:val="00B318FE"/>
    <w:rsid w:val="00B31D25"/>
    <w:rsid w:val="00B558CD"/>
    <w:rsid w:val="00B93E12"/>
    <w:rsid w:val="00BC59B7"/>
    <w:rsid w:val="00BC7199"/>
    <w:rsid w:val="00C13807"/>
    <w:rsid w:val="00C5650A"/>
    <w:rsid w:val="00C56EA9"/>
    <w:rsid w:val="00C66326"/>
    <w:rsid w:val="00C74E4F"/>
    <w:rsid w:val="00D047DF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F26CEE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D996-8750-4232-94F7-AE8D85EA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13274</Words>
  <Characters>75663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4</cp:revision>
  <cp:lastPrinted>2018-03-20T13:12:00Z</cp:lastPrinted>
  <dcterms:created xsi:type="dcterms:W3CDTF">2018-03-20T12:55:00Z</dcterms:created>
  <dcterms:modified xsi:type="dcterms:W3CDTF">2018-03-20T13:15:00Z</dcterms:modified>
</cp:coreProperties>
</file>