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DD" w:rsidRDefault="005C4FDD" w:rsidP="00CB1ADF">
      <w:pPr>
        <w:jc w:val="center"/>
      </w:pPr>
    </w:p>
    <w:p w:rsidR="00CB1ADF" w:rsidRDefault="00CB1ADF" w:rsidP="00CB1ADF">
      <w:pPr>
        <w:jc w:val="center"/>
      </w:pPr>
    </w:p>
    <w:p w:rsidR="00CB1ADF" w:rsidRDefault="00CB1ADF" w:rsidP="00CB1ADF">
      <w:pPr>
        <w:jc w:val="center"/>
      </w:pPr>
    </w:p>
    <w:p w:rsidR="00CB1ADF" w:rsidRDefault="00CB1ADF" w:rsidP="00CB1ADF">
      <w:pPr>
        <w:jc w:val="center"/>
      </w:pPr>
    </w:p>
    <w:p w:rsidR="00CB1ADF" w:rsidRDefault="00CB1ADF" w:rsidP="00CB1ADF">
      <w:pPr>
        <w:jc w:val="center"/>
      </w:pPr>
    </w:p>
    <w:p w:rsidR="00CB1ADF" w:rsidRDefault="00CB1ADF" w:rsidP="00CB1ADF">
      <w:pPr>
        <w:jc w:val="center"/>
      </w:pPr>
    </w:p>
    <w:p w:rsidR="00CB1ADF" w:rsidRDefault="00CB1ADF" w:rsidP="00CB1ADF">
      <w:pPr>
        <w:jc w:val="center"/>
      </w:pPr>
    </w:p>
    <w:p w:rsidR="00CB1ADF" w:rsidRDefault="00CB1ADF" w:rsidP="00CB1ADF">
      <w:pPr>
        <w:jc w:val="center"/>
      </w:pPr>
    </w:p>
    <w:p w:rsidR="00CB1ADF" w:rsidRDefault="00CB1ADF" w:rsidP="00CB1ADF">
      <w:pPr>
        <w:jc w:val="center"/>
      </w:pPr>
    </w:p>
    <w:p w:rsidR="00CB1ADF" w:rsidRDefault="00CB1ADF" w:rsidP="00CB1ADF">
      <w:pPr>
        <w:jc w:val="center"/>
      </w:pPr>
    </w:p>
    <w:p w:rsidR="00CB1ADF" w:rsidRDefault="00CB1ADF" w:rsidP="00CB1ADF">
      <w:pPr>
        <w:jc w:val="center"/>
      </w:pPr>
    </w:p>
    <w:p w:rsidR="00CB1ADF" w:rsidRDefault="00CB1ADF" w:rsidP="00CB1ADF">
      <w:pPr>
        <w:jc w:val="center"/>
      </w:pPr>
    </w:p>
    <w:p w:rsidR="00EB3081" w:rsidRDefault="00EB3081" w:rsidP="00671A2B">
      <w:pPr>
        <w:jc w:val="center"/>
      </w:pPr>
    </w:p>
    <w:p w:rsidR="00CB1ADF" w:rsidRDefault="00CB1ADF" w:rsidP="00671A2B">
      <w:pPr>
        <w:jc w:val="center"/>
      </w:pPr>
    </w:p>
    <w:p w:rsidR="0083531A" w:rsidRDefault="0083531A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аукцион</w:t>
      </w:r>
      <w:r w:rsidR="00FA1A33">
        <w:rPr>
          <w:caps/>
        </w:rPr>
        <w:t>А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2D03AC">
        <w:t>имущественного комплекса</w:t>
      </w:r>
      <w:r w:rsidR="00F9206A" w:rsidRPr="00F9206A">
        <w:t>, расположенно</w:t>
      </w:r>
      <w:r w:rsidR="00C8653B">
        <w:t>го</w:t>
      </w:r>
      <w:r w:rsidR="00F9206A" w:rsidRPr="00F9206A">
        <w:t xml:space="preserve"> по адресу: </w:t>
      </w:r>
      <w:r w:rsidR="002D03AC">
        <w:br/>
      </w:r>
      <w:r w:rsidR="00F9206A" w:rsidRPr="00F9206A">
        <w:t>Калужская обл</w:t>
      </w:r>
      <w:r w:rsidR="0091401B">
        <w:t>асть</w:t>
      </w:r>
      <w:r w:rsidR="00F9206A" w:rsidRPr="00F9206A">
        <w:t xml:space="preserve">, г. Обнинск, </w:t>
      </w:r>
      <w:r w:rsidR="002D03AC">
        <w:t>ул. Менделеева, 18</w:t>
      </w:r>
      <w:r w:rsidR="00F9206A" w:rsidRPr="00F9206A">
        <w:t xml:space="preserve">, </w:t>
      </w:r>
      <w:r w:rsidR="002D03AC">
        <w:br/>
      </w:r>
      <w:r w:rsidRPr="00F62696">
        <w:t>принадлежаще</w:t>
      </w:r>
      <w:r w:rsidR="00C8653B">
        <w:t>го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CB1ADF">
        <w:t>22.08.</w:t>
      </w:r>
      <w:r w:rsidRPr="007334F6">
        <w:t>201</w:t>
      </w:r>
      <w:r w:rsidR="002D03AC">
        <w:t>9</w:t>
      </w:r>
      <w:r w:rsidRPr="007334F6">
        <w:t xml:space="preserve"> № 224/1.1.40-06/</w:t>
      </w:r>
      <w:r w:rsidR="00CB1ADF">
        <w:t>282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83531A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080007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83531A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080007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83531A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080007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83531A">
          <w:rPr>
            <w:noProof/>
            <w:webHidden/>
          </w:rPr>
          <w:t>15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080007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83531A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080007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83531A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080007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83531A">
          <w:rPr>
            <w:noProof/>
            <w:webHidden/>
          </w:rPr>
          <w:t>21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080007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83531A">
          <w:rPr>
            <w:noProof/>
            <w:webHidden/>
          </w:rPr>
          <w:t>24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080007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83531A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080007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83531A">
          <w:rPr>
            <w:noProof/>
            <w:webHidden/>
          </w:rPr>
          <w:t>27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D91961">
            <w:r>
              <w:t>а</w:t>
            </w:r>
            <w:r w:rsidR="00671A2B" w:rsidRPr="00F62696">
              <w:t xml:space="preserve">укцион на </w:t>
            </w:r>
            <w:r w:rsidR="00930CB2">
              <w:t>по</w:t>
            </w:r>
            <w:r w:rsidR="00D91961">
              <w:t>выш</w:t>
            </w:r>
            <w:r w:rsidR="00930CB2">
              <w:t>ение</w:t>
            </w:r>
            <w:r w:rsidR="00671A2B" w:rsidRPr="00F62696">
              <w:t xml:space="preserve"> в электронной форме</w:t>
            </w:r>
            <w:r>
              <w:t xml:space="preserve"> (на </w:t>
            </w:r>
            <w:r w:rsidRPr="00F62696">
              <w:t>электронной торговой площадке</w:t>
            </w:r>
            <w:r>
              <w:t xml:space="preserve"> «</w:t>
            </w:r>
            <w:r w:rsidR="00D91961">
              <w:t>Фабрикант</w:t>
            </w:r>
            <w:r>
              <w:t>» проводится под наименованием «</w:t>
            </w:r>
            <w:r w:rsidR="00D91961">
              <w:t>А</w:t>
            </w:r>
            <w:r w:rsidR="00D91961" w:rsidRPr="00D91961">
              <w:t>укцион на повышение</w:t>
            </w:r>
            <w:r w:rsidR="00D91961">
              <w:t xml:space="preserve"> цены</w:t>
            </w:r>
            <w:r>
              <w:t>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77586F">
                  <w:t>имущественного комплекса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E332BE">
            <w:pPr>
              <w:jc w:val="left"/>
            </w:pPr>
            <w:r w:rsidRPr="00F734AB">
              <w:t xml:space="preserve">Калужская область, г. Обнинск, </w:t>
            </w:r>
            <w:r w:rsidR="00324448">
              <w:br/>
              <w:t>ул. Менделеева, 18</w:t>
            </w:r>
          </w:p>
        </w:tc>
      </w:tr>
      <w:tr w:rsidR="00671A2B" w:rsidRPr="00F62696" w:rsidTr="0013382A">
        <w:trPr>
          <w:trHeight w:val="945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324448" w:rsidRPr="00324448" w:rsidRDefault="00324448" w:rsidP="00324448">
            <w:pPr>
              <w:rPr>
                <w:u w:val="single"/>
              </w:rPr>
            </w:pPr>
            <w:r w:rsidRPr="00324448">
              <w:rPr>
                <w:u w:val="single"/>
              </w:rPr>
              <w:t xml:space="preserve">Здание </w:t>
            </w:r>
            <w:r>
              <w:rPr>
                <w:u w:val="single"/>
              </w:rPr>
              <w:t>«Участок озеленения»</w:t>
            </w:r>
          </w:p>
          <w:p w:rsidR="00324448" w:rsidRPr="00324448" w:rsidRDefault="00324448" w:rsidP="00324448">
            <w:r w:rsidRPr="00324448">
              <w:t>кадастровый номер: 40:27:</w:t>
            </w:r>
            <w:r>
              <w:t>010103</w:t>
            </w:r>
            <w:r w:rsidRPr="00324448">
              <w:t>:</w:t>
            </w:r>
            <w:r>
              <w:t>269</w:t>
            </w:r>
          </w:p>
          <w:p w:rsidR="00324448" w:rsidRPr="00324448" w:rsidRDefault="00324448" w:rsidP="00324448">
            <w:r w:rsidRPr="00324448">
              <w:t>назначение: нежилое</w:t>
            </w:r>
            <w:r w:rsidR="00505655">
              <w:t xml:space="preserve"> здание</w:t>
            </w:r>
          </w:p>
          <w:p w:rsidR="00324448" w:rsidRPr="00324448" w:rsidRDefault="00324448" w:rsidP="00324448">
            <w:r w:rsidRPr="00324448">
              <w:t>количество этажей: 1</w:t>
            </w:r>
          </w:p>
          <w:p w:rsidR="00324448" w:rsidRPr="00324448" w:rsidRDefault="00324448" w:rsidP="00324448">
            <w:r w:rsidRPr="00324448">
              <w:t xml:space="preserve">общая площадь: </w:t>
            </w:r>
            <w:r>
              <w:t>935,5</w:t>
            </w:r>
            <w:r w:rsidRPr="00324448">
              <w:t xml:space="preserve"> кв. м</w:t>
            </w:r>
          </w:p>
          <w:p w:rsidR="00324448" w:rsidRPr="00324448" w:rsidRDefault="00324448" w:rsidP="00324448">
            <w:r w:rsidRPr="00324448">
              <w:t>год постройки: 19</w:t>
            </w:r>
            <w:r w:rsidR="00E332BE">
              <w:t>46</w:t>
            </w:r>
          </w:p>
          <w:p w:rsidR="00324448" w:rsidRPr="00324448" w:rsidRDefault="00324448" w:rsidP="00324448">
            <w:r w:rsidRPr="00324448">
              <w:t xml:space="preserve">фундамент: </w:t>
            </w:r>
            <w:r w:rsidR="00E332BE">
              <w:t>буто</w:t>
            </w:r>
            <w:r w:rsidRPr="00324448">
              <w:t>бетонный</w:t>
            </w:r>
          </w:p>
          <w:p w:rsidR="00324448" w:rsidRPr="00324448" w:rsidRDefault="00324448" w:rsidP="00324448">
            <w:r w:rsidRPr="00324448">
              <w:t>стены: кирпичные</w:t>
            </w:r>
          </w:p>
          <w:p w:rsidR="00324448" w:rsidRPr="00324448" w:rsidRDefault="00324448" w:rsidP="00324448">
            <w:r w:rsidRPr="00324448">
              <w:t xml:space="preserve">крыша: </w:t>
            </w:r>
            <w:r w:rsidR="00E332BE">
              <w:rPr>
                <w:iCs/>
              </w:rPr>
              <w:t>шифер по обрешетке</w:t>
            </w:r>
          </w:p>
          <w:p w:rsidR="00324448" w:rsidRPr="00324448" w:rsidRDefault="00324448" w:rsidP="00324448">
            <w:r w:rsidRPr="00324448">
              <w:t>полы: линолеум, плитка</w:t>
            </w:r>
            <w:r w:rsidR="00E332BE">
              <w:t>, бетонные плиты</w:t>
            </w:r>
          </w:p>
          <w:p w:rsidR="00324448" w:rsidRPr="00F734AB" w:rsidRDefault="00324448" w:rsidP="0013382A">
            <w:pPr>
              <w:spacing w:after="120"/>
            </w:pPr>
            <w:r w:rsidRPr="00324448">
              <w:t>право: собственность</w:t>
            </w:r>
          </w:p>
          <w:p w:rsidR="00E332BE" w:rsidRPr="00E332BE" w:rsidRDefault="00E332BE" w:rsidP="00E332BE">
            <w:pPr>
              <w:rPr>
                <w:u w:val="single"/>
              </w:rPr>
            </w:pPr>
            <w:r>
              <w:rPr>
                <w:u w:val="single"/>
              </w:rPr>
              <w:t>Сооружение</w:t>
            </w:r>
            <w:r w:rsidRPr="00E332BE">
              <w:rPr>
                <w:u w:val="single"/>
              </w:rPr>
              <w:t xml:space="preserve"> «</w:t>
            </w:r>
            <w:r>
              <w:rPr>
                <w:u w:val="single"/>
              </w:rPr>
              <w:t>Парники у</w:t>
            </w:r>
            <w:r w:rsidRPr="00E332BE">
              <w:rPr>
                <w:u w:val="single"/>
              </w:rPr>
              <w:t>част</w:t>
            </w:r>
            <w:r>
              <w:rPr>
                <w:u w:val="single"/>
              </w:rPr>
              <w:t>ка</w:t>
            </w:r>
            <w:r w:rsidRPr="00E332BE">
              <w:rPr>
                <w:u w:val="single"/>
              </w:rPr>
              <w:t xml:space="preserve"> озеленения»</w:t>
            </w:r>
          </w:p>
          <w:p w:rsidR="00E332BE" w:rsidRPr="00E332BE" w:rsidRDefault="00E332BE" w:rsidP="00E332BE">
            <w:r w:rsidRPr="00E332BE">
              <w:t>кадастровый номер: 40:27:01010</w:t>
            </w:r>
            <w:r>
              <w:t>2</w:t>
            </w:r>
            <w:r w:rsidRPr="00E332BE">
              <w:t>:</w:t>
            </w:r>
            <w:r>
              <w:t>192</w:t>
            </w:r>
          </w:p>
          <w:p w:rsidR="00324448" w:rsidRDefault="00E332BE" w:rsidP="00505655">
            <w:pPr>
              <w:jc w:val="left"/>
            </w:pPr>
            <w:r w:rsidRPr="00E332BE">
              <w:t xml:space="preserve">назначение: </w:t>
            </w:r>
            <w:r w:rsidR="00505655">
              <w:t xml:space="preserve">сооружения </w:t>
            </w:r>
            <w:proofErr w:type="spellStart"/>
            <w:proofErr w:type="gramStart"/>
            <w:r w:rsidR="00505655">
              <w:t>сельскохозяйствен-ного</w:t>
            </w:r>
            <w:proofErr w:type="spellEnd"/>
            <w:proofErr w:type="gramEnd"/>
            <w:r w:rsidR="00505655">
              <w:t xml:space="preserve"> производства</w:t>
            </w:r>
          </w:p>
          <w:p w:rsidR="00E332BE" w:rsidRDefault="00E332BE" w:rsidP="00E332BE">
            <w:r w:rsidRPr="00E332BE">
              <w:t xml:space="preserve">общая площадь: </w:t>
            </w:r>
            <w:r>
              <w:t>1</w:t>
            </w:r>
            <w:r w:rsidR="0013382A" w:rsidRPr="00E332BE">
              <w:t> </w:t>
            </w:r>
            <w:r>
              <w:t>551</w:t>
            </w:r>
            <w:r w:rsidRPr="00E332BE">
              <w:t xml:space="preserve"> кв. м</w:t>
            </w:r>
          </w:p>
          <w:p w:rsidR="00E332BE" w:rsidRDefault="00E332BE" w:rsidP="00E332BE">
            <w:r w:rsidRPr="00E332BE">
              <w:t>год постройки: 19</w:t>
            </w:r>
            <w:r>
              <w:t>58</w:t>
            </w:r>
          </w:p>
          <w:p w:rsidR="00E332BE" w:rsidRDefault="00E332BE" w:rsidP="00E332BE">
            <w:pPr>
              <w:jc w:val="left"/>
            </w:pPr>
            <w:r>
              <w:t>конструктивные элементы: бетонное основание, стены кирпичные оштукатуренные</w:t>
            </w:r>
          </w:p>
          <w:p w:rsidR="00E332BE" w:rsidRDefault="00E332BE" w:rsidP="0013382A">
            <w:pPr>
              <w:spacing w:after="120"/>
            </w:pPr>
            <w:r w:rsidRPr="00E332BE">
              <w:t>право: собственность</w:t>
            </w:r>
          </w:p>
          <w:p w:rsidR="00E332BE" w:rsidRPr="00E332BE" w:rsidRDefault="00E332BE" w:rsidP="00E332BE">
            <w:r w:rsidRPr="00E332BE">
              <w:t>Имущество расположено на земельном участке с кадастровым номером 40:27:</w:t>
            </w:r>
            <w:r w:rsidR="0013382A">
              <w:t>010102</w:t>
            </w:r>
            <w:r w:rsidRPr="00E332BE">
              <w:t>:</w:t>
            </w:r>
            <w:r w:rsidR="0013382A">
              <w:t>20</w:t>
            </w:r>
            <w:r w:rsidRPr="00E332BE">
              <w:t xml:space="preserve">3 </w:t>
            </w:r>
            <w:r w:rsidR="0013382A">
              <w:t xml:space="preserve">общей </w:t>
            </w:r>
            <w:r w:rsidRPr="00E332BE">
              <w:t xml:space="preserve">площадью </w:t>
            </w:r>
            <w:r w:rsidR="0013382A">
              <w:t>6</w:t>
            </w:r>
            <w:r w:rsidRPr="00E332BE">
              <w:t> </w:t>
            </w:r>
            <w:r w:rsidR="0013382A">
              <w:t>068</w:t>
            </w:r>
            <w:r w:rsidRPr="00E332BE">
              <w:t xml:space="preserve"> кв.</w:t>
            </w:r>
            <w:r w:rsidR="0013382A">
              <w:t xml:space="preserve"> </w:t>
            </w:r>
            <w:r w:rsidRPr="00E332BE">
              <w:t>м, находящемся в собственности Российской Федерации, и предоставленном АО «ГНЦ РФ – ФЭИ» в аренду на 10 лет.</w:t>
            </w:r>
          </w:p>
          <w:p w:rsidR="005F79BC" w:rsidRPr="00F62696" w:rsidRDefault="00E332BE" w:rsidP="00E332BE">
            <w:r w:rsidRPr="00E332BE">
              <w:lastRenderedPageBreak/>
              <w:t>В стоимость Имущества включена стоимость 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080007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080007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D91961">
            <w:r w:rsidRPr="00F62696">
              <w:t>Начальная цена</w:t>
            </w:r>
            <w:r w:rsidR="00D91961">
              <w:t xml:space="preserve"> аукциона</w:t>
            </w:r>
            <w:r w:rsidRPr="00F62696">
              <w:t>:</w:t>
            </w:r>
          </w:p>
        </w:tc>
        <w:tc>
          <w:tcPr>
            <w:tcW w:w="5916" w:type="dxa"/>
          </w:tcPr>
          <w:p w:rsidR="00671A2B" w:rsidRPr="00F62696" w:rsidRDefault="00EB3081" w:rsidP="00AE77E1">
            <w:r>
              <w:t>19</w:t>
            </w:r>
            <w:r w:rsidR="00B67A53" w:rsidRPr="00B67A53">
              <w:t> </w:t>
            </w:r>
            <w:r>
              <w:t>976</w:t>
            </w:r>
            <w:r w:rsidR="00B67A53" w:rsidRPr="00B67A53">
              <w:t> </w:t>
            </w:r>
            <w:r>
              <w:t>0</w:t>
            </w:r>
            <w:r w:rsidR="00B67A53" w:rsidRPr="00B67A53">
              <w:t>00 (</w:t>
            </w:r>
            <w:r w:rsidR="00AE77E1">
              <w:t>Девятнадцать</w:t>
            </w:r>
            <w:r w:rsidR="002268A9">
              <w:t xml:space="preserve"> </w:t>
            </w:r>
            <w:r w:rsidR="00B67A53" w:rsidRPr="00B67A53">
              <w:t>миллион</w:t>
            </w:r>
            <w:r w:rsidR="00AE77E1">
              <w:t>ов</w:t>
            </w:r>
            <w:r w:rsidR="00B67A53" w:rsidRPr="00B67A53">
              <w:t xml:space="preserve"> </w:t>
            </w:r>
            <w:r w:rsidR="00AE77E1">
              <w:t>девятьсот семьдесят шесть</w:t>
            </w:r>
            <w:r w:rsidR="00B67A53" w:rsidRPr="00B67A53">
              <w:t xml:space="preserve"> тысяч) рублей 00</w:t>
            </w:r>
            <w:r w:rsidR="00AE77E1">
              <w:t xml:space="preserve"> </w:t>
            </w:r>
            <w:r w:rsidR="00B67A53" w:rsidRPr="00B67A53">
              <w:t>копеек</w:t>
            </w:r>
            <w:r w:rsidR="008B7231">
              <w:t>,</w:t>
            </w:r>
            <w:r w:rsidR="00B67A53" w:rsidRPr="00B67A53">
              <w:t xml:space="preserve"> </w:t>
            </w:r>
            <w:r w:rsidR="008B7231" w:rsidRPr="008B7231">
              <w:t xml:space="preserve">в том числе НДС </w:t>
            </w:r>
            <w:r w:rsidR="002268A9">
              <w:t>20</w:t>
            </w:r>
            <w:r w:rsidR="008B7231" w:rsidRPr="008B7231">
              <w:t xml:space="preserve">% – </w:t>
            </w:r>
            <w:r w:rsidR="00AE77E1">
              <w:t>3</w:t>
            </w:r>
            <w:r w:rsidR="00F85C37">
              <w:t> </w:t>
            </w:r>
            <w:r w:rsidR="00AE77E1">
              <w:t>329</w:t>
            </w:r>
            <w:r w:rsidR="00F85C37">
              <w:t> </w:t>
            </w:r>
            <w:r w:rsidR="00AE77E1">
              <w:t>333</w:t>
            </w:r>
            <w:r w:rsidR="008B7231" w:rsidRPr="008B7231">
              <w:t xml:space="preserve"> (</w:t>
            </w:r>
            <w:r w:rsidR="00AE77E1">
              <w:t>Три</w:t>
            </w:r>
            <w:r w:rsidR="00F85C37">
              <w:t xml:space="preserve"> миллион</w:t>
            </w:r>
            <w:r w:rsidR="00AE77E1">
              <w:t>а</w:t>
            </w:r>
            <w:r w:rsidR="00F85C37">
              <w:t xml:space="preserve"> </w:t>
            </w:r>
            <w:r w:rsidR="00AE77E1">
              <w:t>триста двадцать девять</w:t>
            </w:r>
            <w:r w:rsidR="002268A9">
              <w:t xml:space="preserve"> тысяч</w:t>
            </w:r>
            <w:r w:rsidR="00F85C37">
              <w:t xml:space="preserve"> </w:t>
            </w:r>
            <w:r w:rsidR="00AE77E1">
              <w:t>триста тридцать три</w:t>
            </w:r>
            <w:r w:rsidR="008B7231" w:rsidRPr="008B7231">
              <w:t>) рубл</w:t>
            </w:r>
            <w:r w:rsidR="00AE77E1">
              <w:t>я</w:t>
            </w:r>
            <w:r w:rsidR="008B7231" w:rsidRPr="008B7231">
              <w:t xml:space="preserve"> </w:t>
            </w:r>
            <w:r w:rsidR="00AE77E1">
              <w:t>33</w:t>
            </w:r>
            <w:r w:rsidR="008B7231" w:rsidRPr="008B7231">
              <w:t xml:space="preserve"> копе</w:t>
            </w:r>
            <w:r w:rsidR="00AE77E1">
              <w:t>йки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D91961">
            <w:r>
              <w:t xml:space="preserve">Величина </w:t>
            </w:r>
            <w:r w:rsidR="00D91961">
              <w:t>повышения</w:t>
            </w:r>
            <w:r>
              <w:t xml:space="preserve"> начальной цены (шаг </w:t>
            </w:r>
            <w:r w:rsidR="00D91961">
              <w:t>аукциона</w:t>
            </w:r>
            <w:r>
              <w:t>):</w:t>
            </w:r>
          </w:p>
        </w:tc>
        <w:tc>
          <w:tcPr>
            <w:tcW w:w="5916" w:type="dxa"/>
          </w:tcPr>
          <w:p w:rsidR="00774997" w:rsidRDefault="00AE77E1" w:rsidP="00AE77E1">
            <w:r>
              <w:t>199</w:t>
            </w:r>
            <w:r w:rsidR="00BB4DEA">
              <w:t> </w:t>
            </w:r>
            <w:r>
              <w:t>760</w:t>
            </w:r>
            <w:r w:rsidR="00BB4DEA">
              <w:t xml:space="preserve"> (</w:t>
            </w:r>
            <w:r>
              <w:t>Сто девяносто девять</w:t>
            </w:r>
            <w:r w:rsidR="00F85C37">
              <w:t xml:space="preserve"> тысяч </w:t>
            </w:r>
            <w:r>
              <w:t>семьсот</w:t>
            </w:r>
            <w:r w:rsidR="002268A9">
              <w:t xml:space="preserve"> шесть</w:t>
            </w:r>
            <w:r>
              <w:t>десят</w:t>
            </w:r>
            <w:r w:rsidR="00BB4DEA">
              <w:t>) рублей 00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 xml:space="preserve">Условия, варианты и сроки оплаты по договору, заключаемому </w:t>
            </w:r>
            <w:r w:rsidRPr="00F62696">
              <w:lastRenderedPageBreak/>
              <w:t>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lastRenderedPageBreak/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D91961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</w:t>
            </w:r>
            <w:r w:rsidR="00D91961">
              <w:t>6</w:t>
            </w:r>
            <w:r w:rsidR="00774997">
              <w:t xml:space="preserve"> Извещения)</w:t>
            </w:r>
            <w:r w:rsidRPr="00F62696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761F87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D91961">
              <w:t xml:space="preserve">начальной </w:t>
            </w:r>
            <w:r w:rsidR="00797418">
              <w:t xml:space="preserve">цены </w:t>
            </w:r>
            <w:r w:rsidR="00D91961">
              <w:t>аукциона</w:t>
            </w:r>
            <w:r w:rsidR="00671A2B" w:rsidRPr="00F62696">
              <w:t xml:space="preserve">, что составляет </w:t>
            </w:r>
            <w:r w:rsidR="00761F87">
              <w:t>3</w:t>
            </w:r>
            <w:r w:rsidR="00F85C37">
              <w:t> </w:t>
            </w:r>
            <w:r w:rsidR="00761F87">
              <w:t>995</w:t>
            </w:r>
            <w:r w:rsidR="00F85C37">
              <w:t> </w:t>
            </w:r>
            <w:r w:rsidR="00761F87">
              <w:t>20</w:t>
            </w:r>
            <w:r w:rsidR="00F85C37">
              <w:t>0</w:t>
            </w:r>
            <w:r w:rsidR="00BB5C75" w:rsidRPr="00797418">
              <w:t xml:space="preserve"> (</w:t>
            </w:r>
            <w:r w:rsidR="00761F87">
              <w:t>Три</w:t>
            </w:r>
            <w:r w:rsidR="00F85C37">
              <w:t xml:space="preserve"> миллион</w:t>
            </w:r>
            <w:r w:rsidR="00761F87">
              <w:t>а</w:t>
            </w:r>
            <w:r w:rsidR="00F85C37">
              <w:t xml:space="preserve"> </w:t>
            </w:r>
            <w:r w:rsidR="00761F87">
              <w:t>девятьсот девяносто</w:t>
            </w:r>
            <w:r w:rsidR="002268A9">
              <w:t xml:space="preserve"> пять</w:t>
            </w:r>
            <w:r w:rsidR="00F85C37">
              <w:t xml:space="preserve"> тысяч </w:t>
            </w:r>
            <w:r w:rsidR="00761F87">
              <w:t>двести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</w:t>
            </w:r>
            <w:r w:rsidR="00761F87">
              <w:t xml:space="preserve"> </w:t>
            </w:r>
            <w:r w:rsidR="00BB5C75" w:rsidRPr="00797418">
              <w:t>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157ECC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2268A9">
              <w:t>9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157ECC" w:rsidRPr="00157ECC">
              <w:t xml:space="preserve">имущественного комплекса, расположенного по адресу: Калужская область, г. Обнинск, </w:t>
            </w:r>
            <w:r w:rsidR="00157ECC">
              <w:t>ул. Менделеева, 18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157ECC">
              <w:t>го</w:t>
            </w:r>
            <w:r w:rsidRPr="00F62696">
              <w:t xml:space="preserve"> </w:t>
            </w:r>
            <w:r>
              <w:t>АО «ГНЦ РФ</w:t>
            </w:r>
            <w:r w:rsidR="00157ECC">
              <w:t xml:space="preserve"> </w:t>
            </w:r>
            <w:r w:rsidR="008558DB">
              <w:t>–</w:t>
            </w:r>
            <w:r w:rsidR="00157ECC">
              <w:t xml:space="preserve">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83531A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CB1ADF" w:rsidP="00CB1ADF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22 августа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157ECC">
              <w:rPr>
                <w:bCs/>
                <w:spacing w:val="-1"/>
              </w:rPr>
              <w:t>9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12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CB1ADF" w:rsidP="00157ECC">
            <w:r>
              <w:rPr>
                <w:bCs/>
              </w:rPr>
              <w:t>30 сентября</w:t>
            </w:r>
            <w:r w:rsidR="00004855" w:rsidRPr="00004855">
              <w:rPr>
                <w:bCs/>
              </w:rPr>
              <w:t xml:space="preserve"> 201</w:t>
            </w:r>
            <w:r w:rsidR="00157ECC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83531A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CB1ADF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CB1ADF">
              <w:rPr>
                <w:bCs/>
              </w:rPr>
              <w:t>07 октября</w:t>
            </w:r>
            <w:r w:rsidR="00004855" w:rsidRPr="00004855">
              <w:rPr>
                <w:bCs/>
              </w:rPr>
              <w:t xml:space="preserve"> 201</w:t>
            </w:r>
            <w:r w:rsidR="00157ECC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F85C37">
        <w:trPr>
          <w:trHeight w:val="661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CB1ADF" w:rsidP="00CB1ADF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 w:rsidRPr="00CB1ADF">
              <w:rPr>
                <w:bCs/>
              </w:rPr>
              <w:t>0</w:t>
            </w:r>
            <w:r>
              <w:rPr>
                <w:bCs/>
              </w:rPr>
              <w:t>9</w:t>
            </w:r>
            <w:r w:rsidRPr="00CB1ADF">
              <w:rPr>
                <w:bCs/>
              </w:rPr>
              <w:t xml:space="preserve"> октября</w:t>
            </w:r>
            <w:r w:rsidR="00004855" w:rsidRPr="00004855">
              <w:rPr>
                <w:bCs/>
              </w:rPr>
              <w:t xml:space="preserve"> 201</w:t>
            </w:r>
            <w:r w:rsidR="00157ECC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CB1ADF" w:rsidP="00CB1ADF">
            <w:r w:rsidRPr="00CB1ADF">
              <w:rPr>
                <w:bCs/>
              </w:rPr>
              <w:t>0</w:t>
            </w:r>
            <w:r>
              <w:rPr>
                <w:bCs/>
              </w:rPr>
              <w:t>9</w:t>
            </w:r>
            <w:r w:rsidRPr="00CB1ADF">
              <w:rPr>
                <w:bCs/>
              </w:rPr>
              <w:t xml:space="preserve"> октября</w:t>
            </w:r>
            <w:r w:rsidR="00004855" w:rsidRPr="00004855">
              <w:rPr>
                <w:bCs/>
              </w:rPr>
              <w:t xml:space="preserve"> 201</w:t>
            </w:r>
            <w:r w:rsidR="00157ECC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CD4ADB">
              <w:t xml:space="preserve"> </w:t>
            </w:r>
            <w:r w:rsidR="00AB4385">
              <w:t>1</w:t>
            </w:r>
            <w:r w:rsidR="00CB1A9A">
              <w:t>6</w:t>
            </w:r>
            <w:r w:rsidR="007334F6" w:rsidRPr="00CD4ADB">
              <w:t>.</w:t>
            </w:r>
            <w:r w:rsidR="00CB1A9A">
              <w:t>0</w:t>
            </w:r>
            <w:r w:rsidR="00AB4385">
              <w:t>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765982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</w:t>
            </w:r>
            <w:r w:rsidR="00765982">
              <w:t>Фабрикант</w:t>
            </w:r>
            <w:r w:rsidR="00A2249B">
              <w:t>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765982" w:rsidRPr="00290559">
                <w:rPr>
                  <w:rStyle w:val="ad"/>
                </w:rPr>
                <w:t>www.fabrikant.ru</w:t>
              </w:r>
            </w:hyperlink>
            <w:r w:rsidR="00765982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40336D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40336D">
              <w:t>4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F6269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62696">
              <w:rPr>
                <w:rFonts w:ascii="Times New Roman" w:hAnsi="Times New Roman"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765982" w:rsidRPr="00765982">
                <w:rPr>
                  <w:rStyle w:val="ad"/>
                </w:rPr>
                <w:t>www.fabrikant.ru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</w:t>
            </w:r>
            <w:r>
              <w:lastRenderedPageBreak/>
              <w:t>аукциона также опубликовано в печатных изданиях.</w:t>
            </w:r>
          </w:p>
        </w:tc>
      </w:tr>
      <w:tr w:rsidR="00671A2B" w:rsidRPr="00F62696" w:rsidTr="00157ECC">
        <w:trPr>
          <w:trHeight w:val="1435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CB1ADF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CB1ADF">
              <w:rPr>
                <w:bCs/>
              </w:rPr>
              <w:t>23 августа</w:t>
            </w:r>
            <w:r w:rsidR="003C4DC8" w:rsidRPr="003C4DC8">
              <w:rPr>
                <w:bCs/>
              </w:rPr>
              <w:t xml:space="preserve"> 201</w:t>
            </w:r>
            <w:r w:rsidR="00157ECC">
              <w:rPr>
                <w:bCs/>
              </w:rPr>
              <w:t>9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до </w:t>
            </w:r>
            <w:r w:rsidR="00CB1ADF">
              <w:rPr>
                <w:bCs/>
              </w:rPr>
              <w:t>30 сентября</w:t>
            </w:r>
            <w:r w:rsidR="003C4DC8" w:rsidRPr="003C4DC8">
              <w:rPr>
                <w:bCs/>
              </w:rPr>
              <w:t xml:space="preserve"> 201</w:t>
            </w:r>
            <w:r w:rsidR="00157ECC">
              <w:rPr>
                <w:bCs/>
              </w:rPr>
              <w:t>9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080007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83531A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765982" w:rsidRDefault="00765982">
      <w:pPr>
        <w:spacing w:after="200" w:line="276" w:lineRule="auto"/>
        <w:jc w:val="left"/>
      </w:pPr>
      <w:r>
        <w:br w:type="page"/>
      </w:r>
    </w:p>
    <w:p w:rsidR="00765982" w:rsidRPr="00765982" w:rsidRDefault="00765982" w:rsidP="00765982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b/>
        </w:rPr>
      </w:pPr>
      <w:r>
        <w:rPr>
          <w:b/>
        </w:rPr>
        <w:lastRenderedPageBreak/>
        <w:t>ДОКУМЕНТАЦИЯ О ПРОВЕДЕНИИ АУКЦИОНА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>а электронной торговой площадке «</w:t>
      </w:r>
      <w:r w:rsidR="00765982">
        <w:rPr>
          <w:rFonts w:ascii="Times New Roman" w:hAnsi="Times New Roman"/>
          <w:sz w:val="28"/>
          <w:szCs w:val="28"/>
        </w:rPr>
        <w:t>Фабрикант</w:t>
      </w:r>
      <w:r w:rsidRPr="003B3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</w:t>
      </w:r>
      <w:r w:rsidR="00765982">
        <w:rPr>
          <w:rFonts w:ascii="Times New Roman" w:hAnsi="Times New Roman"/>
          <w:sz w:val="28"/>
          <w:szCs w:val="28"/>
        </w:rPr>
        <w:t>Аукцион на повышение цены</w:t>
      </w:r>
      <w:r w:rsidRPr="003B3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извещение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</w:t>
      </w:r>
      <w:r w:rsidRPr="00F62696">
        <w:lastRenderedPageBreak/>
        <w:t>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4260C3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0C3">
        <w:rPr>
          <w:rFonts w:ascii="Times New Roman" w:hAnsi="Times New Roman"/>
          <w:sz w:val="28"/>
          <w:szCs w:val="28"/>
        </w:rPr>
        <w:lastRenderedPageBreak/>
        <w:t>заявление о неприменении в отношении Претендента -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F62696">
        <w:t>должным образом</w:t>
      </w:r>
      <w:proofErr w:type="gramEnd"/>
      <w:r w:rsidRPr="00F62696">
        <w:t xml:space="preserve">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</w:t>
      </w:r>
      <w:r w:rsidRPr="00F62696">
        <w:lastRenderedPageBreak/>
        <w:t>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lastRenderedPageBreak/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83531A">
        <w:t>5.6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8F55D3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8F55D3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 – протокол рассмотрения заявок)</w:t>
      </w:r>
      <w:r w:rsidR="00671A2B" w:rsidRPr="00F62696">
        <w:t>;</w:t>
      </w:r>
    </w:p>
    <w:p w:rsidR="00671A2B" w:rsidRPr="007B3AEB" w:rsidRDefault="008F55D3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8F55D3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8F55D3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8F55D3">
        <w:t>участнику, чье предложение предшествовало предложению победителя. При этом срок возврата задатка исчисляется с даты подписания договора с победителем аукциона</w:t>
      </w:r>
      <w:r w:rsidR="00671A2B" w:rsidRPr="00F62696">
        <w:t>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8F55D3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8F55D3">
        <w:t xml:space="preserve">всем участникам аукциона </w:t>
      </w:r>
      <w:r w:rsidR="00671A2B"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>.</w:t>
      </w:r>
      <w:r w:rsidRPr="00483867">
        <w:t> </w:t>
      </w:r>
      <w:r w:rsidR="00275044">
        <w:t>2 или 3 п. 3.2.</w:t>
      </w:r>
      <w:r w:rsidR="001A41CF">
        <w:t>3</w:t>
      </w:r>
      <w:r w:rsidR="00275044">
        <w:t xml:space="preserve"> настоящей Документации) </w:t>
      </w:r>
      <w:r w:rsidR="00671A2B"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="00671A2B"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lastRenderedPageBreak/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83531A" w:rsidRPr="0083531A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2B21B1">
        <w:rPr>
          <w:rFonts w:ascii="Times New Roman" w:hAnsi="Times New Roman"/>
          <w:bCs/>
          <w:sz w:val="28"/>
          <w:szCs w:val="28"/>
        </w:rPr>
        <w:t xml:space="preserve"> и</w:t>
      </w:r>
      <w:r w:rsidR="00F7031A">
        <w:rPr>
          <w:rFonts w:ascii="Times New Roman" w:hAnsi="Times New Roman"/>
          <w:bCs/>
          <w:sz w:val="28"/>
          <w:szCs w:val="28"/>
        </w:rPr>
        <w:t>/</w:t>
      </w:r>
      <w:r w:rsidR="002B21B1">
        <w:rPr>
          <w:rFonts w:ascii="Times New Roman" w:hAnsi="Times New Roman"/>
          <w:bCs/>
          <w:sz w:val="28"/>
          <w:szCs w:val="28"/>
        </w:rPr>
        <w:t xml:space="preserve">или </w:t>
      </w:r>
      <w:r w:rsidR="00F7031A">
        <w:rPr>
          <w:rFonts w:ascii="Times New Roman" w:hAnsi="Times New Roman"/>
          <w:bCs/>
          <w:sz w:val="28"/>
          <w:szCs w:val="28"/>
        </w:rPr>
        <w:t xml:space="preserve">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lastRenderedPageBreak/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CA7D3F">
        <w:t>К</w:t>
      </w:r>
      <w:r w:rsidRPr="00F62696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lastRenderedPageBreak/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8B2D48" w:rsidRPr="001A41CF" w:rsidRDefault="00671A2B" w:rsidP="001A41CF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1A41CF">
        <w:rPr>
          <w:rFonts w:ascii="Times New Roman" w:hAnsi="Times New Roman"/>
          <w:bCs/>
          <w:sz w:val="28"/>
          <w:szCs w:val="28"/>
        </w:rPr>
        <w:t>.</w:t>
      </w:r>
    </w:p>
    <w:p w:rsidR="008B2D48" w:rsidRPr="00F62696" w:rsidRDefault="00671A2B" w:rsidP="008B2D48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1A41CF">
        <w:t xml:space="preserve">, </w:t>
      </w:r>
      <w:r w:rsidRPr="00F62696">
        <w:t>предложивший по итогам аукциона наибольшую цену</w:t>
      </w:r>
      <w:bookmarkEnd w:id="122"/>
      <w:r w:rsidR="001A41CF">
        <w:t>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</w:t>
      </w:r>
      <w:r w:rsidR="004C234B" w:rsidRPr="004C234B">
        <w:t>Цена договора, предложенная победителем аукциона, заносится в протокол об итогах аукциона, один экземпляр которого передается победителю аукциона.</w:t>
      </w:r>
      <w:r w:rsidR="009E7BFA">
        <w:t xml:space="preserve"> </w:t>
      </w:r>
      <w:r w:rsidR="001A41CF">
        <w:t>В соответствии с п</w:t>
      </w:r>
      <w:r w:rsidR="004C234B">
        <w:t>.</w:t>
      </w:r>
      <w:r w:rsidR="001A41CF">
        <w:t xml:space="preserve"> 6 ст</w:t>
      </w:r>
      <w:r w:rsidR="004C234B">
        <w:t>.</w:t>
      </w:r>
      <w:r w:rsidR="001A41CF">
        <w:t xml:space="preserve"> 448 </w:t>
      </w:r>
      <w:proofErr w:type="gramStart"/>
      <w:r w:rsidR="001A41CF">
        <w:t>Гражданского кодекса Российской Федерации</w:t>
      </w:r>
      <w:proofErr w:type="gramEnd"/>
      <w:r w:rsidR="001A41CF">
        <w:t xml:space="preserve"> подписанный протокол об итогах аукциона имеет силу договора.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lastRenderedPageBreak/>
        <w:t xml:space="preserve"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</w:t>
      </w:r>
      <w:r w:rsidR="004C234B">
        <w:t>3</w:t>
      </w:r>
      <w:r w:rsidRPr="00F62696">
        <w:t xml:space="preserve"> (</w:t>
      </w:r>
      <w:r w:rsidR="004C234B">
        <w:t>трех</w:t>
      </w:r>
      <w:r w:rsidRPr="00F62696">
        <w:t>) рабоч</w:t>
      </w:r>
      <w:r w:rsidR="004C234B">
        <w:t>их</w:t>
      </w:r>
      <w:r w:rsidRPr="00F62696">
        <w:t xml:space="preserve"> дн</w:t>
      </w:r>
      <w:r w:rsidR="004C234B">
        <w:t>ей</w:t>
      </w:r>
      <w:r w:rsidRPr="00F62696">
        <w:t xml:space="preserve">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Pr="00F62696">
        <w:t>4.</w:t>
      </w:r>
      <w:r w:rsidR="009148ED">
        <w:t xml:space="preserve"> </w:t>
      </w:r>
      <w:r w:rsidRPr="00F62696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lastRenderedPageBreak/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4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83531A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83531A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соответствии с п</w:t>
      </w:r>
      <w:r w:rsidR="00D00259">
        <w:t>.</w:t>
      </w:r>
      <w:r w:rsidRPr="00F62696">
        <w:t xml:space="preserve"> 7 ч</w:t>
      </w:r>
      <w:r w:rsidR="00D00259">
        <w:t>.</w:t>
      </w:r>
      <w:r w:rsidRPr="00F62696">
        <w:t xml:space="preserve"> 1 ст</w:t>
      </w:r>
      <w:r w:rsidR="00D00259">
        <w:t>.</w:t>
      </w:r>
      <w:r w:rsidRPr="00F62696">
        <w:t xml:space="preserve"> 28 Федерального закона от 26.07.2006 №</w:t>
      </w:r>
      <w:r w:rsidR="00D00259" w:rsidRPr="00483867">
        <w:t> 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</w:t>
      </w:r>
      <w:r w:rsidR="00A8299A">
        <w:t>3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A8299A">
        <w:t>не ниже начальной</w:t>
      </w:r>
      <w:r w:rsidRPr="00F62696">
        <w:t xml:space="preserve"> (минимальной</w:t>
      </w:r>
      <w:r w:rsidR="00A8299A">
        <w:t>)</w:t>
      </w:r>
      <w:r w:rsidRPr="00F62696">
        <w:t xml:space="preserve"> цен</w:t>
      </w:r>
      <w:r w:rsidR="00A8299A">
        <w:t>ы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lastRenderedPageBreak/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</w:t>
      </w:r>
      <w:r w:rsidR="00D00259">
        <w:t>ЕОМУ</w:t>
      </w:r>
      <w:r w:rsidRPr="00F62696">
        <w:t xml:space="preserve">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5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 xml:space="preserve">звещения о проведении аукциона в порядке, установленном </w:t>
      </w:r>
      <w:r w:rsidR="00D00259">
        <w:t>ЕОМУ</w:t>
      </w:r>
      <w:r w:rsidRPr="00F62696">
        <w:t xml:space="preserve">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>право заключения договора купли-продажи</w:t>
      </w:r>
      <w:r w:rsidR="00094BC5">
        <w:t xml:space="preserve"> </w:t>
      </w:r>
      <w:r w:rsidR="00317AC3" w:rsidRPr="00317AC3">
        <w:t xml:space="preserve">имущественного комплекса, расположенного по адресу: Калужская область, </w:t>
      </w:r>
      <w:r w:rsidR="00317AC3" w:rsidRPr="00317AC3">
        <w:br/>
        <w:t xml:space="preserve">г. Обнинск, </w:t>
      </w:r>
      <w:r w:rsidR="00317AC3">
        <w:t>ул. Менделеева, 18</w:t>
      </w:r>
      <w:r w:rsidR="00127D49" w:rsidRPr="00127D49">
        <w:t>,</w:t>
      </w:r>
      <w:r w:rsidR="00127D49">
        <w:t xml:space="preserve"> </w:t>
      </w:r>
      <w:r w:rsidRPr="00F62696">
        <w:t>принадлежаще</w:t>
      </w:r>
      <w:r w:rsidR="00127D49">
        <w:t>го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317AC3">
        <w:t>9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317AC3" w:rsidRPr="00317AC3">
        <w:t>имущественного комплекса</w:t>
      </w:r>
      <w:r w:rsidR="00127D49" w:rsidRPr="00127D49">
        <w:t xml:space="preserve">, расположенного по адресу: Калужская область, г. Обнинск, </w:t>
      </w:r>
      <w:r w:rsidR="00317AC3" w:rsidRPr="00317AC3">
        <w:t>ул.</w:t>
      </w:r>
      <w:r w:rsidR="00317AC3">
        <w:t> </w:t>
      </w:r>
      <w:r w:rsidR="00317AC3" w:rsidRPr="00317AC3">
        <w:t>Менделеева, 18</w:t>
      </w:r>
      <w:r w:rsidR="00127D49" w:rsidRPr="00127D49">
        <w:t>,</w:t>
      </w:r>
      <w:r w:rsidR="00127D49">
        <w:t xml:space="preserve"> </w:t>
      </w:r>
      <w:r w:rsidR="00671A2B" w:rsidRPr="00F62696">
        <w:t>принадлежаще</w:t>
      </w:r>
      <w:r w:rsidR="00127D49">
        <w:t>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E427AD">
        <w:rPr>
          <w:rFonts w:ascii="Times New Roman" w:hAnsi="Times New Roman"/>
          <w:sz w:val="28"/>
          <w:szCs w:val="28"/>
        </w:rPr>
        <w:t>не ниже начальной</w:t>
      </w:r>
      <w:r w:rsidR="00474D6A">
        <w:rPr>
          <w:rFonts w:ascii="Times New Roman" w:hAnsi="Times New Roman"/>
          <w:sz w:val="28"/>
          <w:szCs w:val="28"/>
        </w:rPr>
        <w:t xml:space="preserve"> цен</w:t>
      </w:r>
      <w:r w:rsidR="00E427AD">
        <w:rPr>
          <w:rFonts w:ascii="Times New Roman" w:hAnsi="Times New Roman"/>
          <w:sz w:val="28"/>
          <w:szCs w:val="28"/>
        </w:rPr>
        <w:t>ы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 xml:space="preserve">письменное заверение Претендента о соблюдении установленных требований законодательства о защите конкуренции (в </w:t>
      </w:r>
      <w:proofErr w:type="spellStart"/>
      <w:r>
        <w:t>т.ч</w:t>
      </w:r>
      <w:proofErr w:type="spellEnd"/>
      <w:r>
        <w:t>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</w:t>
      </w:r>
      <w:r w:rsidR="00127D49">
        <w:br/>
      </w:r>
      <w:r w:rsidRPr="00F62696">
        <w:t xml:space="preserve">купли-продажи </w:t>
      </w:r>
      <w:r w:rsidR="00317AC3" w:rsidRPr="00317AC3">
        <w:t>имущественного комплекса</w:t>
      </w:r>
      <w:r w:rsidR="00127D49" w:rsidRPr="00127D49">
        <w:t xml:space="preserve">, расположенного по адресу: Калужская область, г. Обнинск, </w:t>
      </w:r>
      <w:r w:rsidR="00317AC3">
        <w:t>ул. Менделеева, 18</w:t>
      </w:r>
      <w:r w:rsidR="001D613A" w:rsidRPr="001D613A">
        <w:t xml:space="preserve">, </w:t>
      </w:r>
      <w:r w:rsidR="00317AC3">
        <w:br/>
      </w:r>
      <w:r w:rsidR="001D613A" w:rsidRPr="001D613A">
        <w:t>принадлежаще</w:t>
      </w:r>
      <w:r w:rsidR="00127D49">
        <w:t>го</w:t>
      </w:r>
      <w:r w:rsidR="001D613A" w:rsidRPr="001D613A">
        <w:t xml:space="preserve">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6"/>
          <w:headerReference w:type="first" r:id="rId17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 xml:space="preserve">(Подпись уполномоченного </w:t>
      </w:r>
      <w:proofErr w:type="gramStart"/>
      <w:r w:rsidRPr="006C3FF2">
        <w:rPr>
          <w:bCs w:val="0"/>
          <w:i/>
          <w:vertAlign w:val="superscript"/>
        </w:rPr>
        <w:t>представителя)</w:t>
      </w:r>
      <w:r w:rsidR="006C3FF2">
        <w:rPr>
          <w:i/>
          <w:snapToGrid w:val="0"/>
          <w:sz w:val="14"/>
          <w:szCs w:val="14"/>
        </w:rPr>
        <w:tab/>
      </w:r>
      <w:proofErr w:type="gramEnd"/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317A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 w:rsidR="00317AC3">
              <w:rPr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317AC3" w:rsidRPr="00317AC3">
        <w:rPr>
          <w:rFonts w:eastAsia="Times New Roman"/>
          <w:bCs/>
          <w:sz w:val="24"/>
          <w:szCs w:val="24"/>
          <w:lang w:eastAsia="en-US"/>
        </w:rPr>
        <w:t>от 24.12.2018,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50/992-н/77-2018-8-3601)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6679A8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 xml:space="preserve">, а Покупатель обязуется принять и оплатить </w:t>
      </w:r>
      <w:r w:rsidR="006679A8" w:rsidRPr="006679A8">
        <w:rPr>
          <w:color w:val="000000"/>
          <w:sz w:val="24"/>
          <w:szCs w:val="24"/>
          <w:shd w:val="clear" w:color="auto" w:fill="FFFFFF"/>
        </w:rPr>
        <w:t>имущественный комплекс в составе:</w:t>
      </w:r>
    </w:p>
    <w:p w:rsidR="001D613A" w:rsidRDefault="006679A8" w:rsidP="006679A8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Здание «Участок озеленения»</w:t>
      </w:r>
      <w:r w:rsidRPr="006679A8">
        <w:rPr>
          <w:color w:val="000000"/>
          <w:sz w:val="24"/>
          <w:szCs w:val="24"/>
          <w:shd w:val="clear" w:color="auto" w:fill="FFFFFF"/>
        </w:rPr>
        <w:t>, расположенное по адресу: Калужская область, г.</w:t>
      </w:r>
      <w:r w:rsidRPr="00572247">
        <w:rPr>
          <w:color w:val="000000"/>
          <w:sz w:val="24"/>
          <w:szCs w:val="24"/>
          <w:shd w:val="clear" w:color="auto" w:fill="FFFFFF"/>
        </w:rPr>
        <w:t> 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Обнинск, </w:t>
      </w:r>
      <w:r>
        <w:rPr>
          <w:color w:val="000000"/>
          <w:sz w:val="24"/>
          <w:szCs w:val="24"/>
          <w:shd w:val="clear" w:color="auto" w:fill="FFFFFF"/>
        </w:rPr>
        <w:t>ул. Менделеева, 18, стр. 1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 (1-этажное, назначение – нежилое</w:t>
      </w:r>
      <w:r w:rsidR="009B1967">
        <w:rPr>
          <w:color w:val="000000"/>
          <w:sz w:val="24"/>
          <w:szCs w:val="24"/>
          <w:shd w:val="clear" w:color="auto" w:fill="FFFFFF"/>
        </w:rPr>
        <w:t xml:space="preserve"> здание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общая площадь </w:t>
      </w:r>
      <w:r>
        <w:rPr>
          <w:color w:val="000000"/>
          <w:sz w:val="24"/>
          <w:szCs w:val="24"/>
          <w:shd w:val="clear" w:color="auto" w:fill="FFFFFF"/>
        </w:rPr>
        <w:t>935,5</w:t>
      </w:r>
      <w:r w:rsidRPr="00572247">
        <w:rPr>
          <w:color w:val="000000"/>
          <w:sz w:val="24"/>
          <w:szCs w:val="24"/>
          <w:shd w:val="clear" w:color="auto" w:fill="FFFFFF"/>
        </w:rPr>
        <w:t> </w:t>
      </w:r>
      <w:r w:rsidRPr="006679A8">
        <w:rPr>
          <w:color w:val="000000"/>
          <w:sz w:val="24"/>
          <w:szCs w:val="24"/>
          <w:shd w:val="clear" w:color="auto" w:fill="FFFFFF"/>
        </w:rPr>
        <w:t>кв. м, кадастровый номер 40:27:</w:t>
      </w:r>
      <w:r>
        <w:rPr>
          <w:color w:val="000000"/>
          <w:sz w:val="24"/>
          <w:szCs w:val="24"/>
          <w:shd w:val="clear" w:color="auto" w:fill="FFFFFF"/>
        </w:rPr>
        <w:t>010103</w:t>
      </w:r>
      <w:r w:rsidRPr="006679A8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>269</w:t>
      </w:r>
      <w:r w:rsidRPr="006679A8">
        <w:rPr>
          <w:color w:val="000000"/>
          <w:sz w:val="24"/>
          <w:szCs w:val="24"/>
          <w:shd w:val="clear" w:color="auto" w:fill="FFFFFF"/>
        </w:rPr>
        <w:t>);</w:t>
      </w:r>
    </w:p>
    <w:p w:rsidR="006679A8" w:rsidRPr="00C33F26" w:rsidRDefault="006679A8" w:rsidP="006679A8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Сооружение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 «</w:t>
      </w:r>
      <w:r>
        <w:rPr>
          <w:color w:val="000000"/>
          <w:sz w:val="24"/>
          <w:szCs w:val="24"/>
          <w:shd w:val="clear" w:color="auto" w:fill="FFFFFF"/>
        </w:rPr>
        <w:t>Парники у</w:t>
      </w:r>
      <w:r w:rsidRPr="006679A8">
        <w:rPr>
          <w:color w:val="000000"/>
          <w:sz w:val="24"/>
          <w:szCs w:val="24"/>
          <w:shd w:val="clear" w:color="auto" w:fill="FFFFFF"/>
        </w:rPr>
        <w:t>част</w:t>
      </w:r>
      <w:r>
        <w:rPr>
          <w:color w:val="000000"/>
          <w:sz w:val="24"/>
          <w:szCs w:val="24"/>
          <w:shd w:val="clear" w:color="auto" w:fill="FFFFFF"/>
        </w:rPr>
        <w:t>ка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 озеленения», расположенное по адресу: Калужская область,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Обнинск, ул. Менделеева, 18, (назначение – </w:t>
      </w:r>
      <w:r w:rsidR="009B1967" w:rsidRPr="009B1967">
        <w:rPr>
          <w:color w:val="000000"/>
          <w:sz w:val="24"/>
          <w:szCs w:val="24"/>
          <w:shd w:val="clear" w:color="auto" w:fill="FFFFFF"/>
        </w:rPr>
        <w:t>сооружения сельскохозяйственного производства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общая площадь </w:t>
      </w:r>
      <w:r>
        <w:rPr>
          <w:color w:val="000000"/>
          <w:sz w:val="24"/>
          <w:szCs w:val="24"/>
          <w:shd w:val="clear" w:color="auto" w:fill="FFFFFF"/>
        </w:rPr>
        <w:t>1551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 кв. м, кадастровый номер 40:27:</w:t>
      </w:r>
      <w:r>
        <w:rPr>
          <w:color w:val="000000"/>
          <w:sz w:val="24"/>
          <w:szCs w:val="24"/>
          <w:shd w:val="clear" w:color="auto" w:fill="FFFFFF"/>
        </w:rPr>
        <w:t>010102</w:t>
      </w:r>
      <w:r w:rsidRPr="006679A8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>192</w:t>
      </w:r>
      <w:r w:rsidRPr="006679A8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6679A8">
        <w:rPr>
          <w:color w:val="000000"/>
          <w:sz w:val="24"/>
          <w:szCs w:val="24"/>
          <w:shd w:val="clear" w:color="auto" w:fill="FFFFFF"/>
        </w:rPr>
        <w:t>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C3203F" w:rsidRDefault="00572247" w:rsidP="00C3203F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572247">
        <w:rPr>
          <w:color w:val="000000"/>
          <w:sz w:val="24"/>
          <w:szCs w:val="24"/>
          <w:shd w:val="clear" w:color="auto" w:fill="FFFFFF"/>
        </w:rPr>
        <w:t xml:space="preserve">Имущество расположено на земельном участке по адресу: Калужская область, г. Обнинск, </w:t>
      </w:r>
      <w:r w:rsidR="00CE2B77" w:rsidRPr="00CE2B77">
        <w:rPr>
          <w:color w:val="000000"/>
          <w:sz w:val="24"/>
          <w:szCs w:val="24"/>
          <w:shd w:val="clear" w:color="auto" w:fill="FFFFFF"/>
        </w:rPr>
        <w:t>ул. Менделеева, 18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, </w:t>
      </w:r>
      <w:r w:rsidR="00E9626E">
        <w:rPr>
          <w:color w:val="000000"/>
          <w:sz w:val="24"/>
          <w:szCs w:val="24"/>
          <w:shd w:val="clear" w:color="auto" w:fill="FFFFFF"/>
        </w:rPr>
        <w:t xml:space="preserve">общей 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площадью </w:t>
      </w:r>
      <w:r w:rsidR="00E9626E">
        <w:rPr>
          <w:color w:val="000000"/>
          <w:sz w:val="24"/>
          <w:szCs w:val="24"/>
          <w:shd w:val="clear" w:color="auto" w:fill="FFFFFF"/>
        </w:rPr>
        <w:t>6068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 кв. м, кадастровый номер 40:27:</w:t>
      </w:r>
      <w:r w:rsidR="00E9626E">
        <w:rPr>
          <w:color w:val="000000"/>
          <w:sz w:val="24"/>
          <w:szCs w:val="24"/>
          <w:shd w:val="clear" w:color="auto" w:fill="FFFFFF"/>
        </w:rPr>
        <w:t>010102</w:t>
      </w:r>
      <w:r w:rsidRPr="00572247">
        <w:rPr>
          <w:color w:val="000000"/>
          <w:sz w:val="24"/>
          <w:szCs w:val="24"/>
          <w:shd w:val="clear" w:color="auto" w:fill="FFFFFF"/>
        </w:rPr>
        <w:t>:</w:t>
      </w:r>
      <w:r w:rsidR="00E9626E">
        <w:rPr>
          <w:color w:val="000000"/>
          <w:sz w:val="24"/>
          <w:szCs w:val="24"/>
          <w:shd w:val="clear" w:color="auto" w:fill="FFFFFF"/>
        </w:rPr>
        <w:t>203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, категория земель – земли населенных пунктов, разрешенное использование – </w:t>
      </w:r>
      <w:r w:rsidR="00E9626E">
        <w:rPr>
          <w:color w:val="000000"/>
          <w:sz w:val="24"/>
          <w:szCs w:val="24"/>
          <w:shd w:val="clear" w:color="auto" w:fill="FFFFFF"/>
        </w:rPr>
        <w:t>под оранжерею и лабораторию</w:t>
      </w:r>
      <w:r w:rsidRPr="00572247">
        <w:rPr>
          <w:color w:val="000000"/>
          <w:sz w:val="24"/>
          <w:szCs w:val="24"/>
          <w:shd w:val="clear" w:color="auto" w:fill="FFFFFF"/>
        </w:rPr>
        <w:t>, находящемся в федеральной собственности и предоставленном Продавцу в аренду по договору от 29.07.2014 № 27/2014-4</w:t>
      </w:r>
      <w:r w:rsidR="00E9626E">
        <w:rPr>
          <w:color w:val="000000"/>
          <w:sz w:val="24"/>
          <w:szCs w:val="24"/>
          <w:shd w:val="clear" w:color="auto" w:fill="FFFFFF"/>
        </w:rPr>
        <w:t>2</w:t>
      </w:r>
      <w:r w:rsidRPr="00572247"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D03917" w:rsidRPr="00572247" w:rsidRDefault="00707CC4" w:rsidP="0057224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lastRenderedPageBreak/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572247" w:rsidRDefault="001D613A" w:rsidP="00572247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E9626E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E9626E">
        <w:rPr>
          <w:color w:val="000000"/>
          <w:sz w:val="24"/>
          <w:szCs w:val="24"/>
          <w:shd w:val="clear" w:color="auto" w:fill="FFFFFF"/>
        </w:rPr>
        <w:t xml:space="preserve">Цена Имущества по настоящему Договору составляет _______________________ (_____________________) рублей ___ копеек, в том числе НДС </w:t>
      </w:r>
      <w:r>
        <w:rPr>
          <w:color w:val="000000"/>
          <w:sz w:val="24"/>
          <w:szCs w:val="24"/>
          <w:shd w:val="clear" w:color="auto" w:fill="FFFFFF"/>
        </w:rPr>
        <w:t>20</w:t>
      </w:r>
      <w:r w:rsidRPr="00E9626E">
        <w:rPr>
          <w:color w:val="000000"/>
          <w:sz w:val="24"/>
          <w:szCs w:val="24"/>
          <w:shd w:val="clear" w:color="auto" w:fill="FFFFFF"/>
        </w:rPr>
        <w:t>% – _______________________ (_____________________) рублей ___ копеек (далее – «Цена Имущества»).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C33F26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rStyle w:val="2a"/>
          <w:sz w:val="24"/>
          <w:szCs w:val="24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в течение </w:t>
      </w:r>
      <w:r w:rsidR="00C26AB9">
        <w:rPr>
          <w:sz w:val="24"/>
          <w:szCs w:val="24"/>
        </w:rPr>
        <w:t>1</w:t>
      </w:r>
      <w:r w:rsidRPr="00C33F26">
        <w:rPr>
          <w:sz w:val="24"/>
          <w:szCs w:val="24"/>
        </w:rPr>
        <w:t xml:space="preserve"> (</w:t>
      </w:r>
      <w:r w:rsidR="00C26AB9">
        <w:rPr>
          <w:sz w:val="24"/>
          <w:szCs w:val="24"/>
        </w:rPr>
        <w:t>одного</w:t>
      </w:r>
      <w:r w:rsidRPr="00C33F26">
        <w:rPr>
          <w:sz w:val="24"/>
          <w:szCs w:val="24"/>
        </w:rPr>
        <w:t xml:space="preserve">) </w:t>
      </w:r>
      <w:r w:rsidR="00C26AB9">
        <w:rPr>
          <w:sz w:val="24"/>
          <w:szCs w:val="24"/>
        </w:rPr>
        <w:t>года</w:t>
      </w:r>
      <w:r w:rsidRPr="00C33F26">
        <w:rPr>
          <w:sz w:val="24"/>
          <w:szCs w:val="24"/>
        </w:rPr>
        <w:t xml:space="preserve"> с даты заключения настоящего Договора.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lastRenderedPageBreak/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913CB2" w:rsidRDefault="00F13DD1" w:rsidP="00913CB2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2A26D7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</w:t>
      </w:r>
      <w:r>
        <w:rPr>
          <w:bCs/>
          <w:color w:val="000000"/>
          <w:sz w:val="24"/>
          <w:szCs w:val="24"/>
          <w:shd w:val="clear" w:color="auto" w:fill="FFFFFF"/>
        </w:rPr>
        <w:lastRenderedPageBreak/>
        <w:t>государственной власти и/или местного самоуправления, локальным нормативным актам Стороны, судебным решениям.</w:t>
      </w:r>
    </w:p>
    <w:p w:rsidR="002A26D7" w:rsidRDefault="002A26D7" w:rsidP="002A26D7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Покупатель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настоящим гарантирует, что он не контролируется лицами, включенными в перечень лиц, указанный в </w:t>
      </w:r>
      <w:r>
        <w:rPr>
          <w:color w:val="000000"/>
          <w:sz w:val="24"/>
          <w:szCs w:val="24"/>
          <w:shd w:val="clear" w:color="auto" w:fill="FFFFFF"/>
        </w:rPr>
        <w:t xml:space="preserve">постановлении </w:t>
      </w:r>
      <w:r w:rsidRPr="002A26D7">
        <w:rPr>
          <w:color w:val="000000"/>
          <w:sz w:val="24"/>
          <w:szCs w:val="24"/>
          <w:shd w:val="clear" w:color="auto" w:fill="FFFFFF"/>
        </w:rPr>
        <w:t>Правительства Российской Федерации от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>01.11.2018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>1300 «О мерах по реализации Указа Президента Российской Федерации от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>22.10.2018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592», а также что ни он сам, ни лицо, подписавшее настоящий </w:t>
      </w:r>
      <w:r>
        <w:rPr>
          <w:color w:val="000000"/>
          <w:sz w:val="24"/>
          <w:szCs w:val="24"/>
          <w:shd w:val="clear" w:color="auto" w:fill="FFFFFF"/>
        </w:rPr>
        <w:t>Д</w:t>
      </w:r>
      <w:r w:rsidRPr="002A26D7">
        <w:rPr>
          <w:color w:val="000000"/>
          <w:sz w:val="24"/>
          <w:szCs w:val="24"/>
          <w:shd w:val="clear" w:color="auto" w:fill="FFFFFF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:rsidR="002A26D7" w:rsidRDefault="002A26D7" w:rsidP="002A26D7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 w:rsidRPr="002A26D7">
        <w:rPr>
          <w:color w:val="000000"/>
          <w:sz w:val="24"/>
          <w:szCs w:val="24"/>
          <w:shd w:val="clear" w:color="auto" w:fill="FFFFFF"/>
        </w:rPr>
        <w:t xml:space="preserve">В случае включения </w:t>
      </w:r>
      <w:r>
        <w:rPr>
          <w:color w:val="000000"/>
          <w:sz w:val="24"/>
          <w:szCs w:val="24"/>
          <w:shd w:val="clear" w:color="auto" w:fill="FFFFFF"/>
        </w:rPr>
        <w:t>Покупателя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</w:t>
      </w:r>
      <w:r>
        <w:rPr>
          <w:color w:val="000000"/>
          <w:sz w:val="24"/>
          <w:szCs w:val="24"/>
          <w:shd w:val="clear" w:color="auto" w:fill="FFFFFF"/>
        </w:rPr>
        <w:t>Продавца.</w:t>
      </w:r>
    </w:p>
    <w:p w:rsidR="002A26D7" w:rsidRDefault="002A26D7" w:rsidP="002A26D7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Покупатель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 и </w:t>
      </w:r>
      <w:r>
        <w:rPr>
          <w:color w:val="000000"/>
          <w:sz w:val="24"/>
          <w:szCs w:val="24"/>
          <w:shd w:val="clear" w:color="auto" w:fill="FFFFFF"/>
        </w:rPr>
        <w:t>Продавец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 подтверждают, что условия настоящего </w:t>
      </w:r>
      <w:r>
        <w:rPr>
          <w:color w:val="000000"/>
          <w:sz w:val="24"/>
          <w:szCs w:val="24"/>
          <w:shd w:val="clear" w:color="auto" w:fill="FFFFFF"/>
        </w:rPr>
        <w:t xml:space="preserve">пункта </w:t>
      </w:r>
      <w:r w:rsidRPr="002A26D7">
        <w:rPr>
          <w:color w:val="000000"/>
          <w:sz w:val="24"/>
          <w:szCs w:val="24"/>
          <w:shd w:val="clear" w:color="auto" w:fill="FFFFFF"/>
        </w:rPr>
        <w:t>признаны ими существенными условиями настоящего Договора в соответствии со статьей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>432 Гражданского кодекса Российской Федерации.</w:t>
      </w:r>
    </w:p>
    <w:p w:rsidR="002A26D7" w:rsidRDefault="002A26D7" w:rsidP="002A26D7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 w:rsidRPr="002A26D7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не предоставление </w:t>
      </w:r>
      <w:r>
        <w:rPr>
          <w:color w:val="000000"/>
          <w:sz w:val="24"/>
          <w:szCs w:val="24"/>
          <w:shd w:val="clear" w:color="auto" w:fill="FFFFFF"/>
        </w:rPr>
        <w:t xml:space="preserve">Покупателем указанной в настоящем пункте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информации, а равно получение </w:t>
      </w:r>
      <w:r>
        <w:rPr>
          <w:color w:val="000000"/>
          <w:sz w:val="24"/>
          <w:szCs w:val="24"/>
          <w:shd w:val="clear" w:color="auto" w:fill="FFFFFF"/>
        </w:rPr>
        <w:t>Продавцом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 соответствующей информации о включении </w:t>
      </w:r>
      <w:r>
        <w:rPr>
          <w:color w:val="000000"/>
          <w:sz w:val="24"/>
          <w:szCs w:val="24"/>
          <w:shd w:val="clear" w:color="auto" w:fill="FFFFFF"/>
        </w:rPr>
        <w:t>Покупателя</w:t>
      </w:r>
      <w:r w:rsidRPr="002A26D7">
        <w:rPr>
          <w:color w:val="000000"/>
          <w:sz w:val="24"/>
          <w:szCs w:val="24"/>
          <w:shd w:val="clear" w:color="auto" w:fill="FFFFFF"/>
        </w:rPr>
        <w:t>, а также иных лиц, указанных в настоящем</w:t>
      </w:r>
      <w:r>
        <w:rPr>
          <w:color w:val="000000"/>
          <w:sz w:val="24"/>
          <w:szCs w:val="24"/>
          <w:shd w:val="clear" w:color="auto" w:fill="FFFFFF"/>
        </w:rPr>
        <w:t xml:space="preserve"> пункте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, в указанные перечни лиц любым иным способом, является основанием для одностороннего внесудебного отказа </w:t>
      </w:r>
      <w:r>
        <w:rPr>
          <w:color w:val="000000"/>
          <w:sz w:val="24"/>
          <w:szCs w:val="24"/>
          <w:shd w:val="clear" w:color="auto" w:fill="FFFFFF"/>
        </w:rPr>
        <w:t xml:space="preserve">Продавца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Договора. Договор считается расторгнутым с даты получения </w:t>
      </w:r>
      <w:r>
        <w:rPr>
          <w:color w:val="000000"/>
          <w:sz w:val="24"/>
          <w:szCs w:val="24"/>
          <w:shd w:val="clear" w:color="auto" w:fill="FFFFFF"/>
        </w:rPr>
        <w:t>Покупателем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 соответствующего письменного уведомления </w:t>
      </w:r>
      <w:r w:rsidR="0090633F">
        <w:rPr>
          <w:color w:val="000000"/>
          <w:sz w:val="24"/>
          <w:szCs w:val="24"/>
          <w:shd w:val="clear" w:color="auto" w:fill="FFFFFF"/>
        </w:rPr>
        <w:t>Продавца</w:t>
      </w:r>
      <w:r w:rsidRPr="002A26D7">
        <w:rPr>
          <w:color w:val="000000"/>
          <w:sz w:val="24"/>
          <w:szCs w:val="24"/>
          <w:shd w:val="clear" w:color="auto" w:fill="FFFFFF"/>
        </w:rPr>
        <w:t>, если более поздняя дата не будет установлена в уведомлении.</w:t>
      </w:r>
    </w:p>
    <w:p w:rsidR="0090633F" w:rsidRPr="007579D8" w:rsidRDefault="0090633F" w:rsidP="002A26D7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rStyle w:val="2a"/>
          <w:color w:val="000000"/>
          <w:sz w:val="24"/>
          <w:szCs w:val="24"/>
        </w:rPr>
      </w:pPr>
      <w:r w:rsidRPr="0090633F">
        <w:rPr>
          <w:color w:val="000000"/>
          <w:sz w:val="24"/>
          <w:szCs w:val="24"/>
          <w:shd w:val="clear" w:color="auto" w:fill="FFFFFF"/>
        </w:rPr>
        <w:t xml:space="preserve">Факт включения </w:t>
      </w:r>
      <w:r>
        <w:rPr>
          <w:color w:val="000000"/>
          <w:sz w:val="24"/>
          <w:szCs w:val="24"/>
          <w:shd w:val="clear" w:color="auto" w:fill="FFFFFF"/>
        </w:rPr>
        <w:t>Покупателя</w:t>
      </w:r>
      <w:r w:rsidRPr="0090633F">
        <w:rPr>
          <w:color w:val="000000"/>
          <w:sz w:val="24"/>
          <w:szCs w:val="24"/>
          <w:shd w:val="clear" w:color="auto" w:fill="FFFFFF"/>
        </w:rPr>
        <w:t>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</w:t>
      </w:r>
      <w:r w:rsidR="00E9626E">
        <w:rPr>
          <w:bCs/>
          <w:color w:val="000000"/>
          <w:sz w:val="24"/>
          <w:szCs w:val="24"/>
        </w:rPr>
        <w:t xml:space="preserve">настоящим </w:t>
      </w:r>
      <w:r w:rsidRPr="00D30EFF">
        <w:rPr>
          <w:bCs/>
          <w:color w:val="000000"/>
          <w:sz w:val="24"/>
          <w:szCs w:val="24"/>
        </w:rPr>
        <w:t>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lastRenderedPageBreak/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E9626E" w:rsidRPr="00A618C6" w:rsidRDefault="00E9626E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E9626E">
        <w:rPr>
          <w:sz w:val="24"/>
          <w:szCs w:val="24"/>
          <w:shd w:val="clear" w:color="auto" w:fill="FFFFFF"/>
        </w:rPr>
        <w:t>Указанная в п. 6.2 настоящего Договора неустойка должна быть оплачена Покупателем в течение 5 (пяти) рабочих дней после получения соответствующего письменного уведомления от Продавца.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8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 xml:space="preserve">Заинтересованная Сторона направляет другой Стороне письменную претензию, подписанную уполномоченным лицом. </w:t>
      </w:r>
      <w:r w:rsidR="00E9626E" w:rsidRPr="00E9626E">
        <w:rPr>
          <w:rFonts w:eastAsia="Times New Roman"/>
          <w:bCs/>
          <w:spacing w:val="-3"/>
          <w:sz w:val="24"/>
          <w:szCs w:val="24"/>
        </w:rPr>
        <w:t>Претензия направляется адресату заказным письмом с 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</w:t>
      </w:r>
      <w:r w:rsidRPr="005D1D83">
        <w:rPr>
          <w:rFonts w:eastAsia="Times New Roman"/>
          <w:spacing w:val="-3"/>
          <w:sz w:val="24"/>
          <w:szCs w:val="24"/>
        </w:rPr>
        <w:lastRenderedPageBreak/>
        <w:t xml:space="preserve">обосновывающих документов, а также документов, подтверждающих полномочия лица, подписавшего ответ на претензию. </w:t>
      </w:r>
      <w:r w:rsidR="00E9626E" w:rsidRPr="00E9626E">
        <w:rPr>
          <w:rFonts w:eastAsia="Times New Roman"/>
          <w:bCs/>
          <w:spacing w:val="-3"/>
          <w:sz w:val="24"/>
          <w:szCs w:val="24"/>
        </w:rPr>
        <w:t>Ответ на претензию направляется адресату заказным письмом с 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E9626E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E9626E">
        <w:rPr>
          <w:rFonts w:eastAsia="Calibri" w:cs="Times New Roman"/>
          <w:bCs/>
          <w:i/>
          <w:sz w:val="24"/>
          <w:szCs w:val="24"/>
          <w:lang w:eastAsia="ru-RU"/>
        </w:rPr>
        <w:t>Пункт 7.6 настоящего Договора указывается исходя из нижеизложенных вариантов по результатам проведения аукциона и излагается в соответствующей редакции.</w:t>
      </w:r>
    </w:p>
    <w:p w:rsidR="001D613A" w:rsidRDefault="008440BD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8440BD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Третейская оговорка, применяемая в случае, если Договор заключен между организациями Госкорпорации «Росатом».</w:t>
      </w:r>
    </w:p>
    <w:p w:rsidR="000F1CBE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8440BD">
        <w:rPr>
          <w:sz w:val="24"/>
          <w:szCs w:val="24"/>
          <w:shd w:val="clear" w:color="auto" w:fill="FFFFFF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</w:p>
    <w:p w:rsidR="00C05334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8440BD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19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8440B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8440BD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8440B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8440BD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8440B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8440BD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8440B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8440BD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440BD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8440BD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440BD">
        <w:rPr>
          <w:rFonts w:eastAsia="Times New Roman" w:cs="Times New Roman"/>
          <w:sz w:val="24"/>
          <w:szCs w:val="24"/>
          <w:lang w:eastAsia="ru-RU"/>
        </w:rPr>
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C05334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8440BD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Третейская оговорка, применяемая в случае, если Договор заключен между организацией Госкорпорации «Росатом» и внешним контрагентом.</w:t>
      </w:r>
    </w:p>
    <w:p w:rsidR="00C05334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8440BD">
        <w:rPr>
          <w:rFonts w:cs="Times New Roman"/>
          <w:bCs/>
          <w:sz w:val="24"/>
          <w:szCs w:val="24"/>
          <w:shd w:val="clear" w:color="auto" w:fill="FFFFFF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8440BD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8440BD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регламента;</w:t>
      </w:r>
    </w:p>
    <w:p w:rsidR="00C05334" w:rsidRPr="00C05334" w:rsidRDefault="008440BD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40BD">
        <w:rPr>
          <w:rFonts w:ascii="Times New Roman" w:eastAsia="Times New Roman" w:hAnsi="Times New Roman"/>
          <w:bCs/>
          <w:sz w:val="24"/>
          <w:szCs w:val="24"/>
        </w:rPr>
        <w:lastRenderedPageBreak/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8440BD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40BD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8440BD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40BD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8440BD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8440BD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8440BD" w:rsidRDefault="008440BD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8440BD">
        <w:rPr>
          <w:rFonts w:eastAsia="Times New Roman" w:cs="Times New Roman"/>
          <w:bCs/>
          <w:sz w:val="24"/>
          <w:szCs w:val="24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8440BD" w:rsidRDefault="008440BD" w:rsidP="008440BD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F73F86">
        <w:rPr>
          <w:rFonts w:cs="Times New Roman"/>
          <w:bCs/>
          <w:i/>
          <w:sz w:val="24"/>
          <w:szCs w:val="24"/>
          <w:shd w:val="clear" w:color="auto" w:fill="FFFFFF"/>
        </w:rPr>
        <w:t>(вариант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F73F86">
        <w:rPr>
          <w:rFonts w:cs="Times New Roman"/>
          <w:bCs/>
          <w:i/>
          <w:sz w:val="24"/>
          <w:szCs w:val="24"/>
          <w:shd w:val="clear" w:color="auto" w:fill="FFFFFF"/>
        </w:rPr>
        <w:t>для внешнего контрагента – резидента Российской Федерации)</w:t>
      </w:r>
      <w:r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r w:rsidRPr="00F73F86">
        <w:rPr>
          <w:rFonts w:cs="Times New Roman"/>
          <w:bCs/>
          <w:sz w:val="24"/>
          <w:szCs w:val="24"/>
          <w:shd w:val="clear" w:color="auto" w:fill="FFFFFF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</w:t>
      </w:r>
      <w:r>
        <w:rPr>
          <w:rFonts w:cs="Times New Roman"/>
          <w:bCs/>
          <w:sz w:val="24"/>
          <w:szCs w:val="24"/>
          <w:shd w:val="clear" w:color="auto" w:fill="FFFFFF"/>
        </w:rPr>
        <w:t>ляется для Сторон окончательным;</w:t>
      </w:r>
    </w:p>
    <w:p w:rsidR="00C05334" w:rsidRDefault="008440BD" w:rsidP="008440BD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8440BD">
        <w:rPr>
          <w:rFonts w:cs="Times New Roman"/>
          <w:bCs/>
          <w:i/>
          <w:sz w:val="24"/>
          <w:szCs w:val="24"/>
          <w:shd w:val="clear" w:color="auto" w:fill="FFFFFF"/>
        </w:rPr>
        <w:t>(вариант для внешнего контрагента, который не является резидентом Российской Федерации)</w:t>
      </w:r>
      <w:r w:rsidRPr="008440BD">
        <w:rPr>
          <w:rFonts w:cs="Times New Roman"/>
          <w:bCs/>
          <w:sz w:val="24"/>
          <w:szCs w:val="24"/>
          <w:shd w:val="clear" w:color="auto" w:fill="FFFFFF"/>
        </w:rPr>
        <w:t xml:space="preserve"> 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572247" w:rsidRPr="00913CB2" w:rsidRDefault="008440BD" w:rsidP="00572247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8440BD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</w:t>
      </w:r>
      <w:r w:rsidRPr="00D846F3">
        <w:rPr>
          <w:color w:val="000000"/>
          <w:sz w:val="24"/>
          <w:szCs w:val="24"/>
          <w:shd w:val="clear" w:color="auto" w:fill="FFFFFF"/>
        </w:rPr>
        <w:lastRenderedPageBreak/>
        <w:t>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0702D6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ind w:left="714" w:hanging="357"/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lastRenderedPageBreak/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F6607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F6607A" w:rsidRPr="003D69EE" w:rsidRDefault="00F6607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6607A">
        <w:rPr>
          <w:sz w:val="24"/>
          <w:szCs w:val="24"/>
          <w:shd w:val="clear" w:color="auto" w:fill="FFFFFF"/>
        </w:rPr>
        <w:t xml:space="preserve">Стороны договорились в течение </w:t>
      </w:r>
      <w:r>
        <w:rPr>
          <w:sz w:val="24"/>
          <w:szCs w:val="24"/>
          <w:shd w:val="clear" w:color="auto" w:fill="FFFFFF"/>
        </w:rPr>
        <w:t>2</w:t>
      </w:r>
      <w:r w:rsidRPr="00F6607A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двух</w:t>
      </w:r>
      <w:r w:rsidRPr="00F6607A">
        <w:rPr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месяцев</w:t>
      </w:r>
      <w:r w:rsidRPr="00F6607A">
        <w:rPr>
          <w:sz w:val="24"/>
          <w:szCs w:val="24"/>
          <w:shd w:val="clear" w:color="auto" w:fill="FFFFFF"/>
        </w:rPr>
        <w:t xml:space="preserve"> с момента государственной регистрации перехода права собственности на недвижимое имущество к Покупателю заключить </w:t>
      </w:r>
      <w:r w:rsidR="00607C66" w:rsidRPr="00607C66">
        <w:rPr>
          <w:sz w:val="24"/>
          <w:szCs w:val="24"/>
          <w:shd w:val="clear" w:color="auto" w:fill="FFFFFF"/>
        </w:rPr>
        <w:t>соглашение о переуступке прав и обязанностей по договору аренды находящихся в федеральной собственности земельных участков от 29.07.2014 № 27/2014-4</w:t>
      </w:r>
      <w:r w:rsidR="00607C66">
        <w:rPr>
          <w:sz w:val="24"/>
          <w:szCs w:val="24"/>
          <w:shd w:val="clear" w:color="auto" w:fill="FFFFFF"/>
        </w:rPr>
        <w:t>2</w:t>
      </w:r>
      <w:r w:rsidR="00607C66" w:rsidRPr="00607C66">
        <w:rPr>
          <w:sz w:val="24"/>
          <w:szCs w:val="24"/>
          <w:shd w:val="clear" w:color="auto" w:fill="FFFFFF"/>
        </w:rPr>
        <w:t xml:space="preserve"> и осуществить его государственную регистрацию.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607C66">
        <w:rPr>
          <w:rFonts w:ascii="Times New Roman" w:eastAsia="Times New Roman" w:hAnsi="Times New Roman"/>
          <w:sz w:val="24"/>
          <w:szCs w:val="24"/>
          <w:lang w:eastAsia="en-US"/>
        </w:rPr>
        <w:t>9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0702D6" w:rsidRDefault="001D613A" w:rsidP="000702D6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after="60"/>
        <w:ind w:left="714" w:hanging="357"/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9A1FBB" w:rsidRDefault="009A1FBB" w:rsidP="009A1FBB">
      <w:pPr>
        <w:widowControl w:val="0"/>
        <w:autoSpaceDE w:val="0"/>
        <w:autoSpaceDN w:val="0"/>
        <w:adjustRightInd w:val="0"/>
        <w:jc w:val="left"/>
        <w:rPr>
          <w:rFonts w:eastAsia="Times New Roman"/>
          <w:bCs/>
          <w:sz w:val="24"/>
          <w:szCs w:val="24"/>
          <w:lang w:eastAsia="en-US"/>
        </w:rPr>
      </w:pPr>
    </w:p>
    <w:p w:rsidR="009A1FBB" w:rsidRDefault="009A1FBB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 w:rsidR="00607C66">
        <w:rPr>
          <w:rFonts w:eastAsia="Times New Roman"/>
          <w:bCs/>
          <w:sz w:val="24"/>
          <w:szCs w:val="24"/>
          <w:lang w:eastAsia="en-US"/>
        </w:rPr>
        <w:t>9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C26AB9" w:rsidRDefault="00C26AB9" w:rsidP="009A1FBB">
      <w:pPr>
        <w:jc w:val="left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607C66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 w:rsidR="00607C66">
              <w:rPr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E572E9" w:rsidRPr="00E572E9">
        <w:rPr>
          <w:rFonts w:eastAsia="Arial Unicode MS"/>
          <w:bCs/>
          <w:color w:val="000000"/>
          <w:sz w:val="24"/>
          <w:szCs w:val="24"/>
        </w:rPr>
        <w:t>от 24.12.2018,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50/992-н/77-2018-8-3601)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 w:rsidR="00E572E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9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572E9" w:rsidRPr="00E572E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имущественный комплекс в составе:</w:t>
      </w:r>
    </w:p>
    <w:p w:rsidR="00E572E9" w:rsidRDefault="00E572E9" w:rsidP="00E572E9">
      <w:pPr>
        <w:pStyle w:val="affd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E572E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Здание «Участок озеленения», расположенное по адресу: Калужская область, г. Обнинск, ул. Менделеева, 18, стр. 1 (1-этажное, назначение – нежилое</w:t>
      </w:r>
      <w:r w:rsidR="0068527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здание</w:t>
      </w:r>
      <w:r w:rsidRPr="00E572E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 общая площадь 935,5 кв. м, кадастровый номер 40:27:010103:269);</w:t>
      </w:r>
    </w:p>
    <w:p w:rsidR="00E572E9" w:rsidRDefault="00E572E9" w:rsidP="00E572E9">
      <w:pPr>
        <w:pStyle w:val="affd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E572E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Сооружение «Парники участка озеленения», расположенное по адресу: Калужская область, г. Обнинск, ул. Менделеева, 18, (назначение – </w:t>
      </w:r>
      <w:r w:rsidR="0068527A" w:rsidRPr="0068527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сооружения сельскохозяйственного производства</w:t>
      </w:r>
      <w:r w:rsidRPr="00E572E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 общая площадь 1551 кв. м, кадастровый номер 40:27:010102:192), (далее – «Имущество»).</w:t>
      </w:r>
    </w:p>
    <w:p w:rsidR="00B67839" w:rsidRDefault="00B67839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B6783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Здание «Участок озеленения»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оборудовано автоматической пожарной сигнализацией (инвентарный номер Н282352).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 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</w:t>
      </w:r>
      <w:r w:rsidR="00E572E9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ы</w:t>
      </w: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 xml:space="preserve"> техническ</w:t>
      </w:r>
      <w:r w:rsidR="00E572E9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их</w:t>
      </w: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 xml:space="preserve"> паспорт</w:t>
      </w:r>
      <w:r w:rsidR="00E572E9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ов</w:t>
      </w: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 xml:space="preserve">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07" w:rsidRDefault="00080007">
      <w:r>
        <w:separator/>
      </w:r>
    </w:p>
  </w:endnote>
  <w:endnote w:type="continuationSeparator" w:id="0">
    <w:p w:rsidR="00080007" w:rsidRDefault="0008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07" w:rsidRDefault="00080007">
      <w:r>
        <w:separator/>
      </w:r>
    </w:p>
  </w:footnote>
  <w:footnote w:type="continuationSeparator" w:id="0">
    <w:p w:rsidR="00080007" w:rsidRDefault="0008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81" w:rsidRDefault="00EB3081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3531A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81" w:rsidRDefault="00EB3081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0E062DF7"/>
    <w:multiLevelType w:val="hybridMultilevel"/>
    <w:tmpl w:val="1DB2BAF4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D07F03"/>
    <w:multiLevelType w:val="hybridMultilevel"/>
    <w:tmpl w:val="B9A6CE04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8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0"/>
  </w:num>
  <w:num w:numId="3">
    <w:abstractNumId w:val="23"/>
  </w:num>
  <w:num w:numId="4">
    <w:abstractNumId w:val="31"/>
  </w:num>
  <w:num w:numId="5">
    <w:abstractNumId w:val="19"/>
  </w:num>
  <w:num w:numId="6">
    <w:abstractNumId w:val="4"/>
  </w:num>
  <w:num w:numId="7">
    <w:abstractNumId w:val="13"/>
  </w:num>
  <w:num w:numId="8">
    <w:abstractNumId w:val="27"/>
  </w:num>
  <w:num w:numId="9">
    <w:abstractNumId w:val="11"/>
  </w:num>
  <w:num w:numId="10">
    <w:abstractNumId w:val="32"/>
  </w:num>
  <w:num w:numId="11">
    <w:abstractNumId w:val="35"/>
  </w:num>
  <w:num w:numId="12">
    <w:abstractNumId w:val="20"/>
  </w:num>
  <w:num w:numId="13">
    <w:abstractNumId w:val="0"/>
  </w:num>
  <w:num w:numId="14">
    <w:abstractNumId w:val="16"/>
  </w:num>
  <w:num w:numId="15">
    <w:abstractNumId w:val="6"/>
  </w:num>
  <w:num w:numId="16">
    <w:abstractNumId w:val="25"/>
  </w:num>
  <w:num w:numId="17">
    <w:abstractNumId w:val="9"/>
  </w:num>
  <w:num w:numId="18">
    <w:abstractNumId w:val="26"/>
  </w:num>
  <w:num w:numId="19">
    <w:abstractNumId w:val="1"/>
  </w:num>
  <w:num w:numId="20">
    <w:abstractNumId w:val="22"/>
  </w:num>
  <w:num w:numId="21">
    <w:abstractNumId w:val="29"/>
  </w:num>
  <w:num w:numId="22">
    <w:abstractNumId w:val="36"/>
  </w:num>
  <w:num w:numId="23">
    <w:abstractNumId w:val="5"/>
  </w:num>
  <w:num w:numId="24">
    <w:abstractNumId w:val="33"/>
  </w:num>
  <w:num w:numId="25">
    <w:abstractNumId w:val="34"/>
  </w:num>
  <w:num w:numId="26">
    <w:abstractNumId w:val="3"/>
  </w:num>
  <w:num w:numId="27">
    <w:abstractNumId w:val="14"/>
  </w:num>
  <w:num w:numId="28">
    <w:abstractNumId w:val="28"/>
  </w:num>
  <w:num w:numId="29">
    <w:abstractNumId w:val="12"/>
  </w:num>
  <w:num w:numId="30">
    <w:abstractNumId w:val="15"/>
  </w:num>
  <w:num w:numId="31">
    <w:abstractNumId w:val="24"/>
  </w:num>
  <w:num w:numId="32">
    <w:abstractNumId w:val="21"/>
  </w:num>
  <w:num w:numId="33">
    <w:abstractNumId w:val="38"/>
  </w:num>
  <w:num w:numId="34">
    <w:abstractNumId w:val="18"/>
  </w:num>
  <w:num w:numId="35">
    <w:abstractNumId w:val="2"/>
  </w:num>
  <w:num w:numId="36">
    <w:abstractNumId w:val="39"/>
  </w:num>
  <w:num w:numId="37">
    <w:abstractNumId w:val="17"/>
  </w:num>
  <w:num w:numId="38">
    <w:abstractNumId w:val="10"/>
  </w:num>
  <w:num w:numId="39">
    <w:abstractNumId w:val="8"/>
  </w:num>
  <w:num w:numId="4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E4F"/>
    <w:rsid w:val="00034E58"/>
    <w:rsid w:val="00037E5E"/>
    <w:rsid w:val="00045B0C"/>
    <w:rsid w:val="00045BA5"/>
    <w:rsid w:val="00050BCD"/>
    <w:rsid w:val="000567E6"/>
    <w:rsid w:val="00060E3C"/>
    <w:rsid w:val="00061B82"/>
    <w:rsid w:val="0006491C"/>
    <w:rsid w:val="000702D6"/>
    <w:rsid w:val="00070B59"/>
    <w:rsid w:val="0007599D"/>
    <w:rsid w:val="00077CA5"/>
    <w:rsid w:val="00080007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69AB"/>
    <w:rsid w:val="00127D49"/>
    <w:rsid w:val="0013382A"/>
    <w:rsid w:val="00134925"/>
    <w:rsid w:val="00134E07"/>
    <w:rsid w:val="0014474B"/>
    <w:rsid w:val="00144D54"/>
    <w:rsid w:val="001501B3"/>
    <w:rsid w:val="00150685"/>
    <w:rsid w:val="00157ECC"/>
    <w:rsid w:val="001602BB"/>
    <w:rsid w:val="00167EA1"/>
    <w:rsid w:val="0017212F"/>
    <w:rsid w:val="00173178"/>
    <w:rsid w:val="0017318A"/>
    <w:rsid w:val="0017411D"/>
    <w:rsid w:val="001745B0"/>
    <w:rsid w:val="00185296"/>
    <w:rsid w:val="00197C13"/>
    <w:rsid w:val="001A41CF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11CCF"/>
    <w:rsid w:val="00216747"/>
    <w:rsid w:val="00224414"/>
    <w:rsid w:val="00226223"/>
    <w:rsid w:val="002268A9"/>
    <w:rsid w:val="00231713"/>
    <w:rsid w:val="00246198"/>
    <w:rsid w:val="00253536"/>
    <w:rsid w:val="00253DD5"/>
    <w:rsid w:val="0026137B"/>
    <w:rsid w:val="00264994"/>
    <w:rsid w:val="00275044"/>
    <w:rsid w:val="00280CBC"/>
    <w:rsid w:val="00281229"/>
    <w:rsid w:val="00283787"/>
    <w:rsid w:val="00287001"/>
    <w:rsid w:val="00295574"/>
    <w:rsid w:val="002A26D7"/>
    <w:rsid w:val="002B1802"/>
    <w:rsid w:val="002B21B1"/>
    <w:rsid w:val="002B60DA"/>
    <w:rsid w:val="002B7247"/>
    <w:rsid w:val="002C7537"/>
    <w:rsid w:val="002D03AC"/>
    <w:rsid w:val="002D5E71"/>
    <w:rsid w:val="002E574D"/>
    <w:rsid w:val="002F3414"/>
    <w:rsid w:val="002F7AFA"/>
    <w:rsid w:val="003121E6"/>
    <w:rsid w:val="00317AC3"/>
    <w:rsid w:val="00323C09"/>
    <w:rsid w:val="00324448"/>
    <w:rsid w:val="00336BC7"/>
    <w:rsid w:val="00337A41"/>
    <w:rsid w:val="00340E1D"/>
    <w:rsid w:val="00343931"/>
    <w:rsid w:val="00351170"/>
    <w:rsid w:val="003525C0"/>
    <w:rsid w:val="0035657F"/>
    <w:rsid w:val="003658E9"/>
    <w:rsid w:val="00366F89"/>
    <w:rsid w:val="00367235"/>
    <w:rsid w:val="00375BCC"/>
    <w:rsid w:val="00375C09"/>
    <w:rsid w:val="003766B2"/>
    <w:rsid w:val="00381331"/>
    <w:rsid w:val="00385466"/>
    <w:rsid w:val="00385E5F"/>
    <w:rsid w:val="00394ED7"/>
    <w:rsid w:val="003A549E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36D"/>
    <w:rsid w:val="0040368F"/>
    <w:rsid w:val="00407351"/>
    <w:rsid w:val="004260C3"/>
    <w:rsid w:val="00433B65"/>
    <w:rsid w:val="00434947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68A2"/>
    <w:rsid w:val="004B289C"/>
    <w:rsid w:val="004B2C78"/>
    <w:rsid w:val="004C185D"/>
    <w:rsid w:val="004C2034"/>
    <w:rsid w:val="004C234B"/>
    <w:rsid w:val="004C64D5"/>
    <w:rsid w:val="004C69B3"/>
    <w:rsid w:val="004F0E47"/>
    <w:rsid w:val="004F24F5"/>
    <w:rsid w:val="004F519E"/>
    <w:rsid w:val="004F76AB"/>
    <w:rsid w:val="00505655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2247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07C66"/>
    <w:rsid w:val="00610E11"/>
    <w:rsid w:val="00611C1F"/>
    <w:rsid w:val="00612DC0"/>
    <w:rsid w:val="00624CF6"/>
    <w:rsid w:val="00634A2F"/>
    <w:rsid w:val="00643DA2"/>
    <w:rsid w:val="006502B3"/>
    <w:rsid w:val="0066467D"/>
    <w:rsid w:val="00666791"/>
    <w:rsid w:val="006667A1"/>
    <w:rsid w:val="006679A8"/>
    <w:rsid w:val="00671460"/>
    <w:rsid w:val="00671A2B"/>
    <w:rsid w:val="00671C1B"/>
    <w:rsid w:val="00674E74"/>
    <w:rsid w:val="00676FAA"/>
    <w:rsid w:val="0068527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E09EB"/>
    <w:rsid w:val="006E4017"/>
    <w:rsid w:val="006E4073"/>
    <w:rsid w:val="006E7CE0"/>
    <w:rsid w:val="006F4D6D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1F87"/>
    <w:rsid w:val="00763498"/>
    <w:rsid w:val="00765982"/>
    <w:rsid w:val="00767E64"/>
    <w:rsid w:val="00774263"/>
    <w:rsid w:val="00774997"/>
    <w:rsid w:val="0077586F"/>
    <w:rsid w:val="007773B2"/>
    <w:rsid w:val="007909F6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5A70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531A"/>
    <w:rsid w:val="00837B7A"/>
    <w:rsid w:val="008440BD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231"/>
    <w:rsid w:val="008B7FCB"/>
    <w:rsid w:val="008C27A6"/>
    <w:rsid w:val="008D2185"/>
    <w:rsid w:val="008D4D6E"/>
    <w:rsid w:val="008D7BE1"/>
    <w:rsid w:val="008E1621"/>
    <w:rsid w:val="008E50FF"/>
    <w:rsid w:val="008F14F7"/>
    <w:rsid w:val="008F15D7"/>
    <w:rsid w:val="008F2C39"/>
    <w:rsid w:val="008F55D3"/>
    <w:rsid w:val="00904546"/>
    <w:rsid w:val="0090633F"/>
    <w:rsid w:val="00913CB2"/>
    <w:rsid w:val="0091401B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20F"/>
    <w:rsid w:val="00985AC7"/>
    <w:rsid w:val="009871DA"/>
    <w:rsid w:val="00987B0B"/>
    <w:rsid w:val="009A1FBB"/>
    <w:rsid w:val="009A31F1"/>
    <w:rsid w:val="009B1967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299A"/>
    <w:rsid w:val="00A8418B"/>
    <w:rsid w:val="00A875BE"/>
    <w:rsid w:val="00A91853"/>
    <w:rsid w:val="00A9341A"/>
    <w:rsid w:val="00A93520"/>
    <w:rsid w:val="00AA2DA0"/>
    <w:rsid w:val="00AA321E"/>
    <w:rsid w:val="00AB11D9"/>
    <w:rsid w:val="00AB255C"/>
    <w:rsid w:val="00AB4385"/>
    <w:rsid w:val="00AB5820"/>
    <w:rsid w:val="00AB64E7"/>
    <w:rsid w:val="00AB7122"/>
    <w:rsid w:val="00AB79B7"/>
    <w:rsid w:val="00AC3636"/>
    <w:rsid w:val="00AC404D"/>
    <w:rsid w:val="00AD0D00"/>
    <w:rsid w:val="00AD214C"/>
    <w:rsid w:val="00AD3332"/>
    <w:rsid w:val="00AD5025"/>
    <w:rsid w:val="00AE5B2D"/>
    <w:rsid w:val="00AE73F4"/>
    <w:rsid w:val="00AE74D7"/>
    <w:rsid w:val="00AE77E1"/>
    <w:rsid w:val="00AF0898"/>
    <w:rsid w:val="00AF477A"/>
    <w:rsid w:val="00B1090F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839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59D3"/>
    <w:rsid w:val="00C01051"/>
    <w:rsid w:val="00C02715"/>
    <w:rsid w:val="00C05334"/>
    <w:rsid w:val="00C063B5"/>
    <w:rsid w:val="00C10304"/>
    <w:rsid w:val="00C2111D"/>
    <w:rsid w:val="00C21601"/>
    <w:rsid w:val="00C23FB0"/>
    <w:rsid w:val="00C25540"/>
    <w:rsid w:val="00C26AB9"/>
    <w:rsid w:val="00C27D51"/>
    <w:rsid w:val="00C3203F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74250"/>
    <w:rsid w:val="00C801DD"/>
    <w:rsid w:val="00C8653B"/>
    <w:rsid w:val="00C86C0F"/>
    <w:rsid w:val="00C90A0A"/>
    <w:rsid w:val="00CA7D3F"/>
    <w:rsid w:val="00CB0AB2"/>
    <w:rsid w:val="00CB18F4"/>
    <w:rsid w:val="00CB1A9A"/>
    <w:rsid w:val="00CB1ADF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2B77"/>
    <w:rsid w:val="00CE307E"/>
    <w:rsid w:val="00CE42F9"/>
    <w:rsid w:val="00CE4981"/>
    <w:rsid w:val="00CE73AF"/>
    <w:rsid w:val="00CF112F"/>
    <w:rsid w:val="00CF28EE"/>
    <w:rsid w:val="00CF7CA3"/>
    <w:rsid w:val="00D00259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635A"/>
    <w:rsid w:val="00D76B42"/>
    <w:rsid w:val="00D813F8"/>
    <w:rsid w:val="00D87733"/>
    <w:rsid w:val="00D91961"/>
    <w:rsid w:val="00D927CC"/>
    <w:rsid w:val="00D949C1"/>
    <w:rsid w:val="00D96289"/>
    <w:rsid w:val="00D977BF"/>
    <w:rsid w:val="00DA0207"/>
    <w:rsid w:val="00DA153C"/>
    <w:rsid w:val="00DA359A"/>
    <w:rsid w:val="00DA5539"/>
    <w:rsid w:val="00DA65DB"/>
    <w:rsid w:val="00DB4A70"/>
    <w:rsid w:val="00DB79A9"/>
    <w:rsid w:val="00DC194B"/>
    <w:rsid w:val="00DD0BBE"/>
    <w:rsid w:val="00DD0D0A"/>
    <w:rsid w:val="00DD1BE7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0485"/>
    <w:rsid w:val="00E32622"/>
    <w:rsid w:val="00E32E53"/>
    <w:rsid w:val="00E332BE"/>
    <w:rsid w:val="00E35FA0"/>
    <w:rsid w:val="00E378AE"/>
    <w:rsid w:val="00E400F6"/>
    <w:rsid w:val="00E413F3"/>
    <w:rsid w:val="00E427AD"/>
    <w:rsid w:val="00E572E9"/>
    <w:rsid w:val="00E577EE"/>
    <w:rsid w:val="00E611F2"/>
    <w:rsid w:val="00E7087C"/>
    <w:rsid w:val="00E74E8F"/>
    <w:rsid w:val="00E85D3F"/>
    <w:rsid w:val="00E91514"/>
    <w:rsid w:val="00E9626E"/>
    <w:rsid w:val="00EB0663"/>
    <w:rsid w:val="00EB2523"/>
    <w:rsid w:val="00EB3081"/>
    <w:rsid w:val="00EB70F2"/>
    <w:rsid w:val="00EC4E91"/>
    <w:rsid w:val="00ED0576"/>
    <w:rsid w:val="00ED36DF"/>
    <w:rsid w:val="00EE0A74"/>
    <w:rsid w:val="00EE19ED"/>
    <w:rsid w:val="00EE229B"/>
    <w:rsid w:val="00EF1449"/>
    <w:rsid w:val="00F068F9"/>
    <w:rsid w:val="00F10173"/>
    <w:rsid w:val="00F1117A"/>
    <w:rsid w:val="00F13DD1"/>
    <w:rsid w:val="00F15C0F"/>
    <w:rsid w:val="00F33900"/>
    <w:rsid w:val="00F33B41"/>
    <w:rsid w:val="00F45051"/>
    <w:rsid w:val="00F47D4A"/>
    <w:rsid w:val="00F57195"/>
    <w:rsid w:val="00F6607A"/>
    <w:rsid w:val="00F67B87"/>
    <w:rsid w:val="00F7031A"/>
    <w:rsid w:val="00F734AB"/>
    <w:rsid w:val="00F773AB"/>
    <w:rsid w:val="00F85C37"/>
    <w:rsid w:val="00F86647"/>
    <w:rsid w:val="00F9206A"/>
    <w:rsid w:val="00F9456D"/>
    <w:rsid w:val="00F954B1"/>
    <w:rsid w:val="00F95748"/>
    <w:rsid w:val="00F95D3D"/>
    <w:rsid w:val="00F96D71"/>
    <w:rsid w:val="00FA1A33"/>
    <w:rsid w:val="00FB0889"/>
    <w:rsid w:val="00FB0DA1"/>
    <w:rsid w:val="00FB6A27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yperlink" Target="http://www.rdr.rosato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bitration@rosato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mailto:postbox@ipp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4DD819ADADBB0441F04BC57303C88F87209119A85AA45BE7F69714DD2AD746073C3E03301FbFn2N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753AE"/>
    <w:rsid w:val="00081E0B"/>
    <w:rsid w:val="00086B05"/>
    <w:rsid w:val="000D031D"/>
    <w:rsid w:val="000D2FD1"/>
    <w:rsid w:val="000E09F6"/>
    <w:rsid w:val="0010761E"/>
    <w:rsid w:val="00140C9D"/>
    <w:rsid w:val="0015142E"/>
    <w:rsid w:val="00176AD4"/>
    <w:rsid w:val="00183D70"/>
    <w:rsid w:val="0020617C"/>
    <w:rsid w:val="00243E9E"/>
    <w:rsid w:val="002B273D"/>
    <w:rsid w:val="002C58C5"/>
    <w:rsid w:val="002D351F"/>
    <w:rsid w:val="00306300"/>
    <w:rsid w:val="0032322F"/>
    <w:rsid w:val="003838F9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450BC"/>
    <w:rsid w:val="005522CE"/>
    <w:rsid w:val="00572D93"/>
    <w:rsid w:val="005B578D"/>
    <w:rsid w:val="00637B21"/>
    <w:rsid w:val="006A2ED6"/>
    <w:rsid w:val="007454B9"/>
    <w:rsid w:val="007A5231"/>
    <w:rsid w:val="007E4744"/>
    <w:rsid w:val="007F3DDB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40F1E"/>
    <w:rsid w:val="00B558CD"/>
    <w:rsid w:val="00B64481"/>
    <w:rsid w:val="00B93E12"/>
    <w:rsid w:val="00BC59B7"/>
    <w:rsid w:val="00BC7199"/>
    <w:rsid w:val="00C13807"/>
    <w:rsid w:val="00C5650A"/>
    <w:rsid w:val="00C56EA9"/>
    <w:rsid w:val="00C66326"/>
    <w:rsid w:val="00C74E4F"/>
    <w:rsid w:val="00D047DF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41195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42BB-D23A-4E3E-A442-8230F34A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36</Pages>
  <Words>13209</Words>
  <Characters>75292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35</cp:revision>
  <cp:lastPrinted>2019-08-22T08:45:00Z</cp:lastPrinted>
  <dcterms:created xsi:type="dcterms:W3CDTF">2018-06-09T07:15:00Z</dcterms:created>
  <dcterms:modified xsi:type="dcterms:W3CDTF">2019-08-22T08:46:00Z</dcterms:modified>
</cp:coreProperties>
</file>